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B66DE" w14:textId="77777777" w:rsidR="00A85230" w:rsidRPr="008D7F27" w:rsidRDefault="00A85230" w:rsidP="00A85230">
      <w:pPr>
        <w:jc w:val="center"/>
        <w:rPr>
          <w:b/>
          <w:lang w:val="es-ES"/>
        </w:rPr>
      </w:pPr>
      <w:r w:rsidRPr="008D7F27">
        <w:rPr>
          <w:b/>
          <w:lang w:val="es-ES"/>
        </w:rPr>
        <w:t>Documento</w:t>
      </w:r>
    </w:p>
    <w:p w14:paraId="39661EED" w14:textId="77777777" w:rsidR="00B52B80" w:rsidRPr="008D7F27" w:rsidRDefault="00460CAC" w:rsidP="00A85230">
      <w:pPr>
        <w:jc w:val="center"/>
        <w:rPr>
          <w:b/>
          <w:lang w:val="es-ES"/>
        </w:rPr>
      </w:pPr>
      <w:r w:rsidRPr="008D7F27">
        <w:rPr>
          <w:b/>
          <w:bCs/>
          <w:lang w:val="es-ES"/>
        </w:rPr>
        <w:t>LINEAMIENTOS PARA LA DETERMI</w:t>
      </w:r>
      <w:r w:rsidR="009C5E98">
        <w:rPr>
          <w:b/>
          <w:bCs/>
          <w:lang w:val="es-ES"/>
        </w:rPr>
        <w:t>N</w:t>
      </w:r>
      <w:r w:rsidRPr="008D7F27">
        <w:rPr>
          <w:b/>
          <w:bCs/>
          <w:lang w:val="es-ES"/>
        </w:rPr>
        <w:t>ACIÓN</w:t>
      </w:r>
      <w:r w:rsidRPr="008D7F27">
        <w:rPr>
          <w:b/>
          <w:lang w:val="es-ES"/>
        </w:rPr>
        <w:t xml:space="preserve"> DE</w:t>
      </w:r>
      <w:r w:rsidR="00F769CB" w:rsidRPr="008D7F27">
        <w:rPr>
          <w:b/>
          <w:lang w:val="es-ES"/>
        </w:rPr>
        <w:t xml:space="preserve"> MINERALES ESTRATÉGICOS PARA COLOMBIA</w:t>
      </w:r>
    </w:p>
    <w:p w14:paraId="1DBD407E" w14:textId="77777777" w:rsidR="00946D8B" w:rsidRPr="008D7F27" w:rsidRDefault="00946D8B" w:rsidP="00A85230">
      <w:pPr>
        <w:jc w:val="center"/>
        <w:rPr>
          <w:b/>
          <w:bCs/>
          <w:lang w:val="es-ES"/>
        </w:rPr>
      </w:pPr>
      <w:r w:rsidRPr="008D7F27">
        <w:rPr>
          <w:b/>
          <w:bCs/>
          <w:lang w:val="es-ES"/>
        </w:rPr>
        <w:t xml:space="preserve">AGENCIA NACIONAL DE MINERÍA </w:t>
      </w:r>
    </w:p>
    <w:p w14:paraId="005FE5D0" w14:textId="46447B96" w:rsidR="00A85230" w:rsidRPr="008D7F27" w:rsidRDefault="00A85230" w:rsidP="00A85230">
      <w:pPr>
        <w:jc w:val="center"/>
        <w:rPr>
          <w:b/>
          <w:bCs/>
          <w:lang w:val="es-ES"/>
        </w:rPr>
      </w:pPr>
      <w:r w:rsidRPr="61048EED">
        <w:rPr>
          <w:b/>
          <w:bCs/>
          <w:lang w:val="es-ES"/>
        </w:rPr>
        <w:t xml:space="preserve">Versión: </w:t>
      </w:r>
      <w:r w:rsidR="00FA270B">
        <w:rPr>
          <w:b/>
          <w:bCs/>
          <w:lang w:val="es-ES"/>
        </w:rPr>
        <w:t>02</w:t>
      </w:r>
      <w:r w:rsidRPr="61048EED">
        <w:rPr>
          <w:b/>
          <w:bCs/>
          <w:lang w:val="es-ES"/>
        </w:rPr>
        <w:t xml:space="preserve"> de </w:t>
      </w:r>
      <w:r w:rsidR="00FA270B">
        <w:rPr>
          <w:b/>
          <w:bCs/>
          <w:lang w:val="es-ES"/>
        </w:rPr>
        <w:t>junio</w:t>
      </w:r>
      <w:r w:rsidRPr="61048EED">
        <w:rPr>
          <w:b/>
          <w:bCs/>
          <w:lang w:val="es-ES"/>
        </w:rPr>
        <w:t xml:space="preserve"> de 202</w:t>
      </w:r>
      <w:r w:rsidR="00E553E0" w:rsidRPr="61048EED">
        <w:rPr>
          <w:b/>
          <w:bCs/>
          <w:lang w:val="es-ES"/>
        </w:rPr>
        <w:t>6</w:t>
      </w:r>
    </w:p>
    <w:sdt>
      <w:sdtPr>
        <w:rPr>
          <w:rFonts w:eastAsia="Times New Roman" w:cs="Times New Roman"/>
          <w:b w:val="0"/>
          <w:bCs w:val="0"/>
          <w:color w:val="auto"/>
          <w:sz w:val="22"/>
          <w:szCs w:val="22"/>
          <w:lang w:val="es-ES"/>
        </w:rPr>
        <w:id w:val="-183748750"/>
        <w:docPartObj>
          <w:docPartGallery w:val="Table of Contents"/>
          <w:docPartUnique/>
        </w:docPartObj>
      </w:sdtPr>
      <w:sdtEndPr>
        <w:rPr>
          <w:noProof/>
        </w:rPr>
      </w:sdtEndPr>
      <w:sdtContent>
        <w:sdt>
          <w:sdtPr>
            <w:rPr>
              <w:rFonts w:asciiTheme="minorHAnsi" w:eastAsia="Times New Roman" w:hAnsiTheme="minorHAnsi" w:cs="Times New Roman"/>
              <w:b w:val="0"/>
              <w:bCs w:val="0"/>
              <w:color w:val="auto"/>
              <w:sz w:val="22"/>
              <w:szCs w:val="22"/>
              <w:lang w:val="es-ES"/>
            </w:rPr>
            <w:id w:val="-1073655324"/>
            <w:docPartObj>
              <w:docPartGallery w:val="Table of Contents"/>
              <w:docPartUnique/>
            </w:docPartObj>
          </w:sdtPr>
          <w:sdtEndPr>
            <w:rPr>
              <w:rFonts w:cstheme="minorBidi"/>
              <w:b/>
              <w:bCs/>
              <w:noProof/>
            </w:rPr>
          </w:sdtEndPr>
          <w:sdtContent>
            <w:p w14:paraId="7A000D56" w14:textId="77777777" w:rsidR="00B52B80" w:rsidRPr="008D7F27" w:rsidRDefault="00946D8B" w:rsidP="00614B58">
              <w:pPr>
                <w:pStyle w:val="TtuloTDC"/>
                <w:jc w:val="center"/>
                <w:rPr>
                  <w:lang w:val="es-ES"/>
                </w:rPr>
              </w:pPr>
              <w:r w:rsidRPr="008D7F27">
                <w:rPr>
                  <w:lang w:val="es-ES"/>
                </w:rPr>
                <w:t>TABLA DE CONTENIDO</w:t>
              </w:r>
            </w:p>
            <w:p w14:paraId="6F0CA5F6" w14:textId="77777777" w:rsidR="00B52B80" w:rsidRPr="008D7F27" w:rsidRDefault="00000000">
              <w:pPr>
                <w:pStyle w:val="TDC1"/>
                <w:tabs>
                  <w:tab w:val="left" w:pos="480"/>
                  <w:tab w:val="right" w:leader="dot" w:pos="9350"/>
                </w:tabs>
                <w:rPr>
                  <w:lang w:val="es-ES"/>
                </w:rPr>
              </w:pPr>
            </w:p>
          </w:sdtContent>
        </w:sdt>
        <w:p w14:paraId="63F81166" w14:textId="6053599B" w:rsidR="00102E2E" w:rsidRDefault="00B52B80" w:rsidP="16F44784">
          <w:pPr>
            <w:pStyle w:val="TDC1"/>
            <w:tabs>
              <w:tab w:val="left" w:pos="390"/>
              <w:tab w:val="right" w:leader="dot" w:pos="9345"/>
            </w:tabs>
            <w:rPr>
              <w:rFonts w:eastAsiaTheme="minorEastAsia" w:cstheme="minorBidi"/>
              <w:b w:val="0"/>
              <w:bCs w:val="0"/>
              <w:noProof/>
              <w:color w:val="auto"/>
              <w:sz w:val="24"/>
              <w:szCs w:val="24"/>
            </w:rPr>
          </w:pPr>
          <w:r w:rsidRPr="008D7F27">
            <w:fldChar w:fldCharType="begin"/>
          </w:r>
          <w:r>
            <w:instrText>TOC \o "1-3" \z \u \h</w:instrText>
          </w:r>
          <w:r w:rsidRPr="008D7F27">
            <w:fldChar w:fldCharType="separate"/>
          </w:r>
          <w:hyperlink w:anchor="_Toc2100861063">
            <w:r w:rsidR="16F44784" w:rsidRPr="16F44784">
              <w:rPr>
                <w:rStyle w:val="Hipervnculo"/>
              </w:rPr>
              <w:t>1.</w:t>
            </w:r>
            <w:r>
              <w:tab/>
            </w:r>
            <w:r w:rsidR="16F44784" w:rsidRPr="16F44784">
              <w:rPr>
                <w:rStyle w:val="Hipervnculo"/>
              </w:rPr>
              <w:t>Introducción</w:t>
            </w:r>
            <w:r>
              <w:tab/>
            </w:r>
            <w:r>
              <w:fldChar w:fldCharType="begin"/>
            </w:r>
            <w:r>
              <w:instrText>PAGEREF _Toc2100861063 \h</w:instrText>
            </w:r>
            <w:r>
              <w:fldChar w:fldCharType="separate"/>
            </w:r>
            <w:r w:rsidR="16F44784" w:rsidRPr="16F44784">
              <w:rPr>
                <w:rStyle w:val="Hipervnculo"/>
              </w:rPr>
              <w:t>3</w:t>
            </w:r>
            <w:r>
              <w:fldChar w:fldCharType="end"/>
            </w:r>
          </w:hyperlink>
        </w:p>
        <w:p w14:paraId="3EC05271" w14:textId="7068279F" w:rsidR="00102E2E" w:rsidRDefault="16F44784" w:rsidP="16F44784">
          <w:pPr>
            <w:pStyle w:val="TDC1"/>
            <w:tabs>
              <w:tab w:val="left" w:pos="390"/>
              <w:tab w:val="right" w:leader="dot" w:pos="9345"/>
            </w:tabs>
            <w:rPr>
              <w:rFonts w:eastAsiaTheme="minorEastAsia" w:cstheme="minorBidi"/>
              <w:b w:val="0"/>
              <w:bCs w:val="0"/>
              <w:noProof/>
              <w:color w:val="auto"/>
              <w:sz w:val="24"/>
              <w:szCs w:val="24"/>
            </w:rPr>
          </w:pPr>
          <w:hyperlink w:anchor="_Toc791001972">
            <w:r w:rsidRPr="16F44784">
              <w:rPr>
                <w:rStyle w:val="Hipervnculo"/>
              </w:rPr>
              <w:t>2.</w:t>
            </w:r>
            <w:r w:rsidR="00102E2E">
              <w:tab/>
            </w:r>
            <w:r w:rsidRPr="16F44784">
              <w:rPr>
                <w:rStyle w:val="Hipervnculo"/>
              </w:rPr>
              <w:t>Justificación para la actualización de lineamientos</w:t>
            </w:r>
            <w:r w:rsidR="00102E2E">
              <w:tab/>
            </w:r>
            <w:r w:rsidR="00102E2E">
              <w:fldChar w:fldCharType="begin"/>
            </w:r>
            <w:r w:rsidR="00102E2E">
              <w:instrText>PAGEREF _Toc791001972 \h</w:instrText>
            </w:r>
            <w:r w:rsidR="00102E2E">
              <w:fldChar w:fldCharType="separate"/>
            </w:r>
            <w:r w:rsidRPr="16F44784">
              <w:rPr>
                <w:rStyle w:val="Hipervnculo"/>
              </w:rPr>
              <w:t>5</w:t>
            </w:r>
            <w:r w:rsidR="00102E2E">
              <w:fldChar w:fldCharType="end"/>
            </w:r>
          </w:hyperlink>
        </w:p>
        <w:p w14:paraId="73279177" w14:textId="19AD8C53" w:rsidR="00102E2E" w:rsidRDefault="16F44784" w:rsidP="16F44784">
          <w:pPr>
            <w:pStyle w:val="TDC1"/>
            <w:tabs>
              <w:tab w:val="left" w:pos="390"/>
              <w:tab w:val="right" w:leader="dot" w:pos="9345"/>
            </w:tabs>
            <w:rPr>
              <w:rFonts w:eastAsiaTheme="minorEastAsia" w:cstheme="minorBidi"/>
              <w:b w:val="0"/>
              <w:bCs w:val="0"/>
              <w:noProof/>
              <w:color w:val="auto"/>
              <w:sz w:val="24"/>
              <w:szCs w:val="24"/>
            </w:rPr>
          </w:pPr>
          <w:hyperlink w:anchor="_Toc920318613">
            <w:r w:rsidRPr="16F44784">
              <w:rPr>
                <w:rStyle w:val="Hipervnculo"/>
              </w:rPr>
              <w:t>3.</w:t>
            </w:r>
            <w:r w:rsidR="00102E2E">
              <w:tab/>
            </w:r>
            <w:r w:rsidRPr="16F44784">
              <w:rPr>
                <w:rStyle w:val="Hipervnculo"/>
              </w:rPr>
              <w:t>Marco metodológico para la actualización de lineamientos</w:t>
            </w:r>
            <w:r w:rsidR="00102E2E">
              <w:tab/>
            </w:r>
            <w:r w:rsidR="00102E2E">
              <w:fldChar w:fldCharType="begin"/>
            </w:r>
            <w:r w:rsidR="00102E2E">
              <w:instrText>PAGEREF _Toc920318613 \h</w:instrText>
            </w:r>
            <w:r w:rsidR="00102E2E">
              <w:fldChar w:fldCharType="separate"/>
            </w:r>
            <w:r w:rsidRPr="16F44784">
              <w:rPr>
                <w:rStyle w:val="Hipervnculo"/>
              </w:rPr>
              <w:t>7</w:t>
            </w:r>
            <w:r w:rsidR="00102E2E">
              <w:fldChar w:fldCharType="end"/>
            </w:r>
          </w:hyperlink>
        </w:p>
        <w:p w14:paraId="500468F5" w14:textId="35CA2CDA" w:rsidR="00102E2E" w:rsidRDefault="16F44784" w:rsidP="16F44784">
          <w:pPr>
            <w:pStyle w:val="TDC1"/>
            <w:tabs>
              <w:tab w:val="left" w:pos="390"/>
              <w:tab w:val="right" w:leader="dot" w:pos="9345"/>
            </w:tabs>
            <w:rPr>
              <w:rFonts w:eastAsiaTheme="minorEastAsia" w:cstheme="minorBidi"/>
              <w:b w:val="0"/>
              <w:bCs w:val="0"/>
              <w:noProof/>
              <w:color w:val="auto"/>
              <w:sz w:val="24"/>
              <w:szCs w:val="24"/>
            </w:rPr>
          </w:pPr>
          <w:hyperlink w:anchor="_Toc1923011607">
            <w:r w:rsidRPr="16F44784">
              <w:rPr>
                <w:rStyle w:val="Hipervnculo"/>
              </w:rPr>
              <w:t>4.</w:t>
            </w:r>
            <w:r w:rsidR="00102E2E">
              <w:tab/>
            </w:r>
            <w:r w:rsidRPr="16F44784">
              <w:rPr>
                <w:rStyle w:val="Hipervnculo"/>
              </w:rPr>
              <w:t>Análisis de Contexto Internacional</w:t>
            </w:r>
            <w:r w:rsidR="00102E2E">
              <w:tab/>
            </w:r>
            <w:r w:rsidR="00102E2E">
              <w:fldChar w:fldCharType="begin"/>
            </w:r>
            <w:r w:rsidR="00102E2E">
              <w:instrText>PAGEREF _Toc1923011607 \h</w:instrText>
            </w:r>
            <w:r w:rsidR="00102E2E">
              <w:fldChar w:fldCharType="separate"/>
            </w:r>
            <w:r w:rsidRPr="16F44784">
              <w:rPr>
                <w:rStyle w:val="Hipervnculo"/>
              </w:rPr>
              <w:t>10</w:t>
            </w:r>
            <w:r w:rsidR="00102E2E">
              <w:fldChar w:fldCharType="end"/>
            </w:r>
          </w:hyperlink>
        </w:p>
        <w:p w14:paraId="543B5A0A" w14:textId="36E94203"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514884639">
            <w:r w:rsidRPr="16F44784">
              <w:rPr>
                <w:rStyle w:val="Hipervnculo"/>
              </w:rPr>
              <w:t>4.1.</w:t>
            </w:r>
            <w:r w:rsidR="00102E2E">
              <w:tab/>
            </w:r>
            <w:r w:rsidRPr="16F44784">
              <w:rPr>
                <w:rStyle w:val="Hipervnculo"/>
              </w:rPr>
              <w:t>Conceptos adoptados</w:t>
            </w:r>
            <w:r w:rsidR="00102E2E">
              <w:tab/>
            </w:r>
            <w:r w:rsidR="00102E2E">
              <w:fldChar w:fldCharType="begin"/>
            </w:r>
            <w:r w:rsidR="00102E2E">
              <w:instrText>PAGEREF _Toc514884639 \h</w:instrText>
            </w:r>
            <w:r w:rsidR="00102E2E">
              <w:fldChar w:fldCharType="separate"/>
            </w:r>
            <w:r w:rsidRPr="16F44784">
              <w:rPr>
                <w:rStyle w:val="Hipervnculo"/>
              </w:rPr>
              <w:t>11</w:t>
            </w:r>
            <w:r w:rsidR="00102E2E">
              <w:fldChar w:fldCharType="end"/>
            </w:r>
          </w:hyperlink>
        </w:p>
        <w:p w14:paraId="03FA2613" w14:textId="2776F9D6" w:rsidR="00102E2E" w:rsidRDefault="16F44784" w:rsidP="16F44784">
          <w:pPr>
            <w:pStyle w:val="TDC3"/>
            <w:tabs>
              <w:tab w:val="left" w:pos="1200"/>
              <w:tab w:val="right" w:leader="dot" w:pos="9345"/>
            </w:tabs>
            <w:rPr>
              <w:rFonts w:eastAsiaTheme="minorEastAsia" w:cstheme="minorBidi"/>
              <w:noProof/>
              <w:color w:val="auto"/>
              <w:sz w:val="24"/>
              <w:szCs w:val="24"/>
            </w:rPr>
          </w:pPr>
          <w:hyperlink w:anchor="_Toc317157166">
            <w:r w:rsidRPr="16F44784">
              <w:rPr>
                <w:rStyle w:val="Hipervnculo"/>
              </w:rPr>
              <w:t>4.1.1.</w:t>
            </w:r>
            <w:r w:rsidR="00102E2E">
              <w:tab/>
            </w:r>
            <w:r w:rsidRPr="16F44784">
              <w:rPr>
                <w:rStyle w:val="Hipervnculo"/>
              </w:rPr>
              <w:t>Economías de ingresos medios</w:t>
            </w:r>
            <w:r w:rsidR="00102E2E">
              <w:tab/>
            </w:r>
            <w:r w:rsidR="00102E2E">
              <w:fldChar w:fldCharType="begin"/>
            </w:r>
            <w:r w:rsidR="00102E2E">
              <w:instrText>PAGEREF _Toc317157166 \h</w:instrText>
            </w:r>
            <w:r w:rsidR="00102E2E">
              <w:fldChar w:fldCharType="separate"/>
            </w:r>
            <w:r w:rsidRPr="16F44784">
              <w:rPr>
                <w:rStyle w:val="Hipervnculo"/>
              </w:rPr>
              <w:t>12</w:t>
            </w:r>
            <w:r w:rsidR="00102E2E">
              <w:fldChar w:fldCharType="end"/>
            </w:r>
          </w:hyperlink>
        </w:p>
        <w:p w14:paraId="2E9364B8" w14:textId="7DB1CC44" w:rsidR="00102E2E" w:rsidRDefault="16F44784" w:rsidP="16F44784">
          <w:pPr>
            <w:pStyle w:val="TDC3"/>
            <w:tabs>
              <w:tab w:val="left" w:pos="1200"/>
              <w:tab w:val="right" w:leader="dot" w:pos="9345"/>
            </w:tabs>
            <w:rPr>
              <w:rFonts w:eastAsiaTheme="minorEastAsia" w:cstheme="minorBidi"/>
              <w:noProof/>
              <w:color w:val="auto"/>
              <w:sz w:val="24"/>
              <w:szCs w:val="24"/>
            </w:rPr>
          </w:pPr>
          <w:hyperlink w:anchor="_Toc750691702">
            <w:r w:rsidRPr="16F44784">
              <w:rPr>
                <w:rStyle w:val="Hipervnculo"/>
              </w:rPr>
              <w:t>4.1.2.</w:t>
            </w:r>
            <w:r w:rsidR="00102E2E">
              <w:tab/>
            </w:r>
            <w:r w:rsidRPr="16F44784">
              <w:rPr>
                <w:rStyle w:val="Hipervnculo"/>
              </w:rPr>
              <w:t>Economías de ingresos altos</w:t>
            </w:r>
            <w:r w:rsidR="00102E2E">
              <w:tab/>
            </w:r>
            <w:r w:rsidR="00102E2E">
              <w:fldChar w:fldCharType="begin"/>
            </w:r>
            <w:r w:rsidR="00102E2E">
              <w:instrText>PAGEREF _Toc750691702 \h</w:instrText>
            </w:r>
            <w:r w:rsidR="00102E2E">
              <w:fldChar w:fldCharType="separate"/>
            </w:r>
            <w:r w:rsidRPr="16F44784">
              <w:rPr>
                <w:rStyle w:val="Hipervnculo"/>
              </w:rPr>
              <w:t>20</w:t>
            </w:r>
            <w:r w:rsidR="00102E2E">
              <w:fldChar w:fldCharType="end"/>
            </w:r>
          </w:hyperlink>
        </w:p>
        <w:p w14:paraId="678BBB10" w14:textId="662FBE87" w:rsidR="00102E2E" w:rsidRDefault="16F44784" w:rsidP="16F44784">
          <w:pPr>
            <w:pStyle w:val="TDC3"/>
            <w:tabs>
              <w:tab w:val="left" w:pos="1200"/>
              <w:tab w:val="right" w:leader="dot" w:pos="9345"/>
            </w:tabs>
            <w:rPr>
              <w:rFonts w:eastAsiaTheme="minorEastAsia" w:cstheme="minorBidi"/>
              <w:noProof/>
              <w:color w:val="auto"/>
              <w:sz w:val="24"/>
              <w:szCs w:val="24"/>
            </w:rPr>
          </w:pPr>
          <w:hyperlink w:anchor="_Toc435837018">
            <w:r w:rsidRPr="16F44784">
              <w:rPr>
                <w:rStyle w:val="Hipervnculo"/>
              </w:rPr>
              <w:t>4.1.3.</w:t>
            </w:r>
            <w:r w:rsidR="00102E2E">
              <w:tab/>
            </w:r>
            <w:r w:rsidRPr="16F44784">
              <w:rPr>
                <w:rStyle w:val="Hipervnculo"/>
              </w:rPr>
              <w:t>Resultado comparativo de conceptos en economías de ingresos altos</w:t>
            </w:r>
            <w:r w:rsidR="00102E2E">
              <w:tab/>
            </w:r>
            <w:r w:rsidR="00102E2E">
              <w:fldChar w:fldCharType="begin"/>
            </w:r>
            <w:r w:rsidR="00102E2E">
              <w:instrText>PAGEREF _Toc435837018 \h</w:instrText>
            </w:r>
            <w:r w:rsidR="00102E2E">
              <w:fldChar w:fldCharType="separate"/>
            </w:r>
            <w:r w:rsidRPr="16F44784">
              <w:rPr>
                <w:rStyle w:val="Hipervnculo"/>
              </w:rPr>
              <w:t>25</w:t>
            </w:r>
            <w:r w:rsidR="00102E2E">
              <w:fldChar w:fldCharType="end"/>
            </w:r>
          </w:hyperlink>
        </w:p>
        <w:p w14:paraId="769434F1" w14:textId="51E5C852"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413088787">
            <w:r w:rsidRPr="16F44784">
              <w:rPr>
                <w:rStyle w:val="Hipervnculo"/>
              </w:rPr>
              <w:t>4.2.</w:t>
            </w:r>
            <w:r w:rsidR="00102E2E">
              <w:tab/>
            </w:r>
            <w:r w:rsidRPr="16F44784">
              <w:rPr>
                <w:rStyle w:val="Hipervnculo"/>
              </w:rPr>
              <w:t>Resultados del análisis comparativo del contexto internacional</w:t>
            </w:r>
            <w:r w:rsidR="00102E2E">
              <w:tab/>
            </w:r>
            <w:r w:rsidR="00102E2E">
              <w:fldChar w:fldCharType="begin"/>
            </w:r>
            <w:r w:rsidR="00102E2E">
              <w:instrText>PAGEREF _Toc413088787 \h</w:instrText>
            </w:r>
            <w:r w:rsidR="00102E2E">
              <w:fldChar w:fldCharType="separate"/>
            </w:r>
            <w:r w:rsidRPr="16F44784">
              <w:rPr>
                <w:rStyle w:val="Hipervnculo"/>
              </w:rPr>
              <w:t>27</w:t>
            </w:r>
            <w:r w:rsidR="00102E2E">
              <w:fldChar w:fldCharType="end"/>
            </w:r>
          </w:hyperlink>
        </w:p>
        <w:p w14:paraId="2EC0037A" w14:textId="24BE0F95" w:rsidR="00102E2E" w:rsidRDefault="16F44784" w:rsidP="16F44784">
          <w:pPr>
            <w:pStyle w:val="TDC3"/>
            <w:tabs>
              <w:tab w:val="left" w:pos="1200"/>
              <w:tab w:val="right" w:leader="dot" w:pos="9345"/>
            </w:tabs>
            <w:rPr>
              <w:rFonts w:eastAsiaTheme="minorEastAsia" w:cstheme="minorBidi"/>
              <w:noProof/>
              <w:color w:val="auto"/>
              <w:sz w:val="24"/>
              <w:szCs w:val="24"/>
            </w:rPr>
          </w:pPr>
          <w:hyperlink w:anchor="_Toc1079133225">
            <w:r w:rsidRPr="16F44784">
              <w:rPr>
                <w:rStyle w:val="Hipervnculo"/>
              </w:rPr>
              <w:t>4.2.1.</w:t>
            </w:r>
            <w:r w:rsidR="00102E2E">
              <w:tab/>
            </w:r>
            <w:r w:rsidRPr="16F44784">
              <w:rPr>
                <w:rStyle w:val="Hipervnculo"/>
              </w:rPr>
              <w:t>Consideraciones del enfoque internacional para la actualización de lineamientos en Colombia</w:t>
            </w:r>
            <w:r w:rsidR="00102E2E">
              <w:tab/>
            </w:r>
            <w:r w:rsidR="00102E2E">
              <w:fldChar w:fldCharType="begin"/>
            </w:r>
            <w:r w:rsidR="00102E2E">
              <w:instrText>PAGEREF _Toc1079133225 \h</w:instrText>
            </w:r>
            <w:r w:rsidR="00102E2E">
              <w:fldChar w:fldCharType="separate"/>
            </w:r>
            <w:r w:rsidRPr="16F44784">
              <w:rPr>
                <w:rStyle w:val="Hipervnculo"/>
              </w:rPr>
              <w:t>28</w:t>
            </w:r>
            <w:r w:rsidR="00102E2E">
              <w:fldChar w:fldCharType="end"/>
            </w:r>
          </w:hyperlink>
        </w:p>
        <w:p w14:paraId="175237D0" w14:textId="45B6F50B" w:rsidR="00102E2E" w:rsidRDefault="16F44784" w:rsidP="16F44784">
          <w:pPr>
            <w:pStyle w:val="TDC3"/>
            <w:tabs>
              <w:tab w:val="left" w:pos="1200"/>
              <w:tab w:val="right" w:leader="dot" w:pos="9345"/>
            </w:tabs>
            <w:rPr>
              <w:rFonts w:eastAsiaTheme="minorEastAsia" w:cstheme="minorBidi"/>
              <w:noProof/>
              <w:color w:val="auto"/>
              <w:sz w:val="24"/>
              <w:szCs w:val="24"/>
            </w:rPr>
          </w:pPr>
          <w:hyperlink w:anchor="_Toc1881755761">
            <w:r w:rsidRPr="16F44784">
              <w:rPr>
                <w:rStyle w:val="Hipervnculo"/>
              </w:rPr>
              <w:t>4.2.2.</w:t>
            </w:r>
            <w:r w:rsidR="00102E2E">
              <w:tab/>
            </w:r>
            <w:r w:rsidRPr="16F44784">
              <w:rPr>
                <w:rStyle w:val="Hipervnculo"/>
              </w:rPr>
              <w:t>Lineamientos a considerar en Colombia conforme al análisis del contexto internacional</w:t>
            </w:r>
            <w:r w:rsidR="00102E2E">
              <w:tab/>
            </w:r>
            <w:r w:rsidR="00102E2E">
              <w:fldChar w:fldCharType="begin"/>
            </w:r>
            <w:r w:rsidR="00102E2E">
              <w:instrText>PAGEREF _Toc1881755761 \h</w:instrText>
            </w:r>
            <w:r w:rsidR="00102E2E">
              <w:fldChar w:fldCharType="separate"/>
            </w:r>
            <w:r w:rsidRPr="16F44784">
              <w:rPr>
                <w:rStyle w:val="Hipervnculo"/>
              </w:rPr>
              <w:t>29</w:t>
            </w:r>
            <w:r w:rsidR="00102E2E">
              <w:fldChar w:fldCharType="end"/>
            </w:r>
          </w:hyperlink>
        </w:p>
        <w:p w14:paraId="4833EDE5" w14:textId="7CA293B6" w:rsidR="00102E2E" w:rsidRDefault="16F44784" w:rsidP="16F44784">
          <w:pPr>
            <w:pStyle w:val="TDC1"/>
            <w:tabs>
              <w:tab w:val="left" w:pos="390"/>
              <w:tab w:val="right" w:leader="dot" w:pos="9345"/>
            </w:tabs>
            <w:rPr>
              <w:rFonts w:eastAsiaTheme="minorEastAsia" w:cstheme="minorBidi"/>
              <w:b w:val="0"/>
              <w:bCs w:val="0"/>
              <w:noProof/>
              <w:color w:val="auto"/>
              <w:sz w:val="24"/>
              <w:szCs w:val="24"/>
            </w:rPr>
          </w:pPr>
          <w:hyperlink w:anchor="_Toc298770666">
            <w:r w:rsidRPr="16F44784">
              <w:rPr>
                <w:rStyle w:val="Hipervnculo"/>
              </w:rPr>
              <w:t>5.</w:t>
            </w:r>
            <w:r w:rsidR="00102E2E">
              <w:tab/>
            </w:r>
            <w:r w:rsidRPr="16F44784">
              <w:rPr>
                <w:rStyle w:val="Hipervnculo"/>
              </w:rPr>
              <w:t>Lineamientos propuestos para la determinación de minerales estratégicos para Colombia</w:t>
            </w:r>
            <w:r w:rsidR="00102E2E">
              <w:tab/>
            </w:r>
            <w:r w:rsidR="00102E2E">
              <w:fldChar w:fldCharType="begin"/>
            </w:r>
            <w:r w:rsidR="00102E2E">
              <w:instrText>PAGEREF _Toc298770666 \h</w:instrText>
            </w:r>
            <w:r w:rsidR="00102E2E">
              <w:fldChar w:fldCharType="separate"/>
            </w:r>
            <w:r w:rsidRPr="16F44784">
              <w:rPr>
                <w:rStyle w:val="Hipervnculo"/>
              </w:rPr>
              <w:t>30</w:t>
            </w:r>
            <w:r w:rsidR="00102E2E">
              <w:fldChar w:fldCharType="end"/>
            </w:r>
          </w:hyperlink>
        </w:p>
        <w:p w14:paraId="0B3A4109" w14:textId="30E1605E"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1934727651">
            <w:r w:rsidRPr="16F44784">
              <w:rPr>
                <w:rStyle w:val="Hipervnculo"/>
              </w:rPr>
              <w:t>5.1.</w:t>
            </w:r>
            <w:r w:rsidR="00102E2E">
              <w:tab/>
            </w:r>
            <w:r w:rsidRPr="16F44784">
              <w:rPr>
                <w:rStyle w:val="Hipervnculo"/>
              </w:rPr>
              <w:t>Seguridad de las cadenas de suministro</w:t>
            </w:r>
            <w:r w:rsidR="00102E2E">
              <w:tab/>
            </w:r>
            <w:r w:rsidR="00102E2E">
              <w:fldChar w:fldCharType="begin"/>
            </w:r>
            <w:r w:rsidR="00102E2E">
              <w:instrText>PAGEREF _Toc1934727651 \h</w:instrText>
            </w:r>
            <w:r w:rsidR="00102E2E">
              <w:fldChar w:fldCharType="separate"/>
            </w:r>
            <w:r w:rsidRPr="16F44784">
              <w:rPr>
                <w:rStyle w:val="Hipervnculo"/>
              </w:rPr>
              <w:t>33</w:t>
            </w:r>
            <w:r w:rsidR="00102E2E">
              <w:fldChar w:fldCharType="end"/>
            </w:r>
          </w:hyperlink>
        </w:p>
        <w:p w14:paraId="54DDBDC0" w14:textId="09B5BE97"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538548810">
            <w:r w:rsidRPr="16F44784">
              <w:rPr>
                <w:rStyle w:val="Hipervnculo"/>
              </w:rPr>
              <w:t>5.2.</w:t>
            </w:r>
            <w:r w:rsidR="00102E2E">
              <w:tab/>
            </w:r>
            <w:r w:rsidRPr="16F44784">
              <w:rPr>
                <w:rStyle w:val="Hipervnculo"/>
              </w:rPr>
              <w:t>Importancia económica y comercial del mineral</w:t>
            </w:r>
            <w:r w:rsidR="00102E2E">
              <w:tab/>
            </w:r>
            <w:r w:rsidR="00102E2E">
              <w:fldChar w:fldCharType="begin"/>
            </w:r>
            <w:r w:rsidR="00102E2E">
              <w:instrText>PAGEREF _Toc538548810 \h</w:instrText>
            </w:r>
            <w:r w:rsidR="00102E2E">
              <w:fldChar w:fldCharType="separate"/>
            </w:r>
            <w:r w:rsidRPr="16F44784">
              <w:rPr>
                <w:rStyle w:val="Hipervnculo"/>
              </w:rPr>
              <w:t>33</w:t>
            </w:r>
            <w:r w:rsidR="00102E2E">
              <w:fldChar w:fldCharType="end"/>
            </w:r>
          </w:hyperlink>
        </w:p>
        <w:p w14:paraId="59C55387" w14:textId="0130C1D9"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822840227">
            <w:r w:rsidRPr="16F44784">
              <w:rPr>
                <w:rStyle w:val="Hipervnculo"/>
              </w:rPr>
              <w:t>5.3.</w:t>
            </w:r>
            <w:r w:rsidR="00102E2E">
              <w:tab/>
            </w:r>
            <w:r w:rsidRPr="16F44784">
              <w:rPr>
                <w:rStyle w:val="Hipervnculo"/>
              </w:rPr>
              <w:t>Función productiva, industrial y de infraestructura en el país</w:t>
            </w:r>
            <w:r w:rsidR="00102E2E">
              <w:tab/>
            </w:r>
            <w:r w:rsidR="00102E2E">
              <w:fldChar w:fldCharType="begin"/>
            </w:r>
            <w:r w:rsidR="00102E2E">
              <w:instrText>PAGEREF _Toc822840227 \h</w:instrText>
            </w:r>
            <w:r w:rsidR="00102E2E">
              <w:fldChar w:fldCharType="separate"/>
            </w:r>
            <w:r w:rsidRPr="16F44784">
              <w:rPr>
                <w:rStyle w:val="Hipervnculo"/>
              </w:rPr>
              <w:t>34</w:t>
            </w:r>
            <w:r w:rsidR="00102E2E">
              <w:fldChar w:fldCharType="end"/>
            </w:r>
          </w:hyperlink>
        </w:p>
        <w:p w14:paraId="022247A6" w14:textId="7FAC5B76"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788771042">
            <w:r w:rsidRPr="16F44784">
              <w:rPr>
                <w:rStyle w:val="Hipervnculo"/>
              </w:rPr>
              <w:t>5.4.</w:t>
            </w:r>
            <w:r w:rsidR="00102E2E">
              <w:tab/>
            </w:r>
            <w:r w:rsidRPr="16F44784">
              <w:rPr>
                <w:rStyle w:val="Hipervnculo"/>
              </w:rPr>
              <w:t>Potencial geológico y minero en Colombia.</w:t>
            </w:r>
            <w:r w:rsidR="00102E2E">
              <w:tab/>
            </w:r>
            <w:r w:rsidR="00102E2E">
              <w:fldChar w:fldCharType="begin"/>
            </w:r>
            <w:r w:rsidR="00102E2E">
              <w:instrText>PAGEREF _Toc788771042 \h</w:instrText>
            </w:r>
            <w:r w:rsidR="00102E2E">
              <w:fldChar w:fldCharType="separate"/>
            </w:r>
            <w:r w:rsidRPr="16F44784">
              <w:rPr>
                <w:rStyle w:val="Hipervnculo"/>
              </w:rPr>
              <w:t>34</w:t>
            </w:r>
            <w:r w:rsidR="00102E2E">
              <w:fldChar w:fldCharType="end"/>
            </w:r>
          </w:hyperlink>
        </w:p>
        <w:p w14:paraId="78236A77" w14:textId="6EDA07B2"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394035919">
            <w:r w:rsidRPr="16F44784">
              <w:rPr>
                <w:rStyle w:val="Hipervnculo"/>
              </w:rPr>
              <w:t>5.5.</w:t>
            </w:r>
            <w:r w:rsidR="00102E2E">
              <w:tab/>
            </w:r>
            <w:r w:rsidRPr="16F44784">
              <w:rPr>
                <w:rStyle w:val="Hipervnculo"/>
              </w:rPr>
              <w:t>Inserción en encadenamientos productivos estratégicos globales</w:t>
            </w:r>
            <w:r w:rsidR="00102E2E">
              <w:tab/>
            </w:r>
            <w:r w:rsidR="00102E2E">
              <w:fldChar w:fldCharType="begin"/>
            </w:r>
            <w:r w:rsidR="00102E2E">
              <w:instrText>PAGEREF _Toc394035919 \h</w:instrText>
            </w:r>
            <w:r w:rsidR="00102E2E">
              <w:fldChar w:fldCharType="separate"/>
            </w:r>
            <w:r w:rsidRPr="16F44784">
              <w:rPr>
                <w:rStyle w:val="Hipervnculo"/>
              </w:rPr>
              <w:t>35</w:t>
            </w:r>
            <w:r w:rsidR="00102E2E">
              <w:fldChar w:fldCharType="end"/>
            </w:r>
          </w:hyperlink>
        </w:p>
        <w:p w14:paraId="01B85C29" w14:textId="3B1D7150"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482190638">
            <w:r w:rsidRPr="16F44784">
              <w:rPr>
                <w:rStyle w:val="Hipervnculo"/>
              </w:rPr>
              <w:t>5.6.</w:t>
            </w:r>
            <w:r w:rsidR="00102E2E">
              <w:tab/>
            </w:r>
            <w:r w:rsidRPr="16F44784">
              <w:rPr>
                <w:rStyle w:val="Hipervnculo"/>
              </w:rPr>
              <w:t>Seguridad y soberanía nacional</w:t>
            </w:r>
            <w:r w:rsidR="00102E2E">
              <w:tab/>
            </w:r>
            <w:r w:rsidR="00102E2E">
              <w:fldChar w:fldCharType="begin"/>
            </w:r>
            <w:r w:rsidR="00102E2E">
              <w:instrText>PAGEREF _Toc482190638 \h</w:instrText>
            </w:r>
            <w:r w:rsidR="00102E2E">
              <w:fldChar w:fldCharType="separate"/>
            </w:r>
            <w:r w:rsidRPr="16F44784">
              <w:rPr>
                <w:rStyle w:val="Hipervnculo"/>
              </w:rPr>
              <w:t>36</w:t>
            </w:r>
            <w:r w:rsidR="00102E2E">
              <w:fldChar w:fldCharType="end"/>
            </w:r>
          </w:hyperlink>
        </w:p>
        <w:p w14:paraId="18B43DC8" w14:textId="3C496487"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794837633">
            <w:r w:rsidRPr="16F44784">
              <w:rPr>
                <w:rStyle w:val="Hipervnculo"/>
              </w:rPr>
              <w:t>5.7.</w:t>
            </w:r>
            <w:r w:rsidR="00102E2E">
              <w:tab/>
            </w:r>
            <w:r w:rsidRPr="16F44784">
              <w:rPr>
                <w:rStyle w:val="Hipervnculo"/>
              </w:rPr>
              <w:t>Determinantes ambientales para el desarrollo minero del país.</w:t>
            </w:r>
            <w:r w:rsidR="00102E2E">
              <w:tab/>
            </w:r>
            <w:r w:rsidR="00102E2E">
              <w:fldChar w:fldCharType="begin"/>
            </w:r>
            <w:r w:rsidR="00102E2E">
              <w:instrText>PAGEREF _Toc794837633 \h</w:instrText>
            </w:r>
            <w:r w:rsidR="00102E2E">
              <w:fldChar w:fldCharType="separate"/>
            </w:r>
            <w:r w:rsidRPr="16F44784">
              <w:rPr>
                <w:rStyle w:val="Hipervnculo"/>
              </w:rPr>
              <w:t>36</w:t>
            </w:r>
            <w:r w:rsidR="00102E2E">
              <w:fldChar w:fldCharType="end"/>
            </w:r>
          </w:hyperlink>
        </w:p>
        <w:p w14:paraId="55B2CD91" w14:textId="75F77791" w:rsidR="00102E2E" w:rsidRDefault="16F44784" w:rsidP="16F44784">
          <w:pPr>
            <w:pStyle w:val="TDC2"/>
            <w:tabs>
              <w:tab w:val="left" w:pos="600"/>
              <w:tab w:val="right" w:leader="dot" w:pos="9345"/>
            </w:tabs>
            <w:rPr>
              <w:rFonts w:eastAsiaTheme="minorEastAsia" w:cstheme="minorBidi"/>
              <w:i w:val="0"/>
              <w:iCs w:val="0"/>
              <w:noProof/>
              <w:color w:val="auto"/>
              <w:sz w:val="24"/>
              <w:szCs w:val="24"/>
            </w:rPr>
          </w:pPr>
          <w:hyperlink w:anchor="_Toc128308895">
            <w:r w:rsidRPr="16F44784">
              <w:rPr>
                <w:rStyle w:val="Hipervnculo"/>
              </w:rPr>
              <w:t>5.8.</w:t>
            </w:r>
            <w:r w:rsidR="00102E2E">
              <w:tab/>
            </w:r>
            <w:r w:rsidRPr="16F44784">
              <w:rPr>
                <w:rStyle w:val="Hipervnculo"/>
              </w:rPr>
              <w:t>Derechos de comunidades étnicas en el desarrollo minero del país.</w:t>
            </w:r>
            <w:r w:rsidR="00102E2E">
              <w:tab/>
            </w:r>
            <w:r w:rsidR="00102E2E">
              <w:fldChar w:fldCharType="begin"/>
            </w:r>
            <w:r w:rsidR="00102E2E">
              <w:instrText>PAGEREF _Toc128308895 \h</w:instrText>
            </w:r>
            <w:r w:rsidR="00102E2E">
              <w:fldChar w:fldCharType="separate"/>
            </w:r>
            <w:r w:rsidRPr="16F44784">
              <w:rPr>
                <w:rStyle w:val="Hipervnculo"/>
              </w:rPr>
              <w:t>37</w:t>
            </w:r>
            <w:r w:rsidR="00102E2E">
              <w:fldChar w:fldCharType="end"/>
            </w:r>
          </w:hyperlink>
        </w:p>
        <w:p w14:paraId="47850F17" w14:textId="54900992" w:rsidR="00102E2E" w:rsidRDefault="16F44784" w:rsidP="16F44784">
          <w:pPr>
            <w:pStyle w:val="TDC1"/>
            <w:tabs>
              <w:tab w:val="left" w:pos="390"/>
              <w:tab w:val="right" w:leader="dot" w:pos="9345"/>
            </w:tabs>
            <w:rPr>
              <w:rFonts w:eastAsiaTheme="minorEastAsia" w:cstheme="minorBidi"/>
              <w:b w:val="0"/>
              <w:bCs w:val="0"/>
              <w:noProof/>
              <w:color w:val="auto"/>
              <w:sz w:val="24"/>
              <w:szCs w:val="24"/>
            </w:rPr>
          </w:pPr>
          <w:hyperlink w:anchor="_Toc1803101075">
            <w:r w:rsidRPr="16F44784">
              <w:rPr>
                <w:rStyle w:val="Hipervnculo"/>
              </w:rPr>
              <w:t>6.</w:t>
            </w:r>
            <w:r w:rsidR="00102E2E">
              <w:tab/>
            </w:r>
            <w:r w:rsidRPr="16F44784">
              <w:rPr>
                <w:rStyle w:val="Hipervnculo"/>
              </w:rPr>
              <w:t>Bibliografía</w:t>
            </w:r>
            <w:r w:rsidR="00102E2E">
              <w:tab/>
            </w:r>
            <w:r w:rsidR="00102E2E">
              <w:fldChar w:fldCharType="begin"/>
            </w:r>
            <w:r w:rsidR="00102E2E">
              <w:instrText>PAGEREF _Toc1803101075 \h</w:instrText>
            </w:r>
            <w:r w:rsidR="00102E2E">
              <w:fldChar w:fldCharType="separate"/>
            </w:r>
            <w:r w:rsidRPr="16F44784">
              <w:rPr>
                <w:rStyle w:val="Hipervnculo"/>
              </w:rPr>
              <w:t>38</w:t>
            </w:r>
            <w:r w:rsidR="00102E2E">
              <w:fldChar w:fldCharType="end"/>
            </w:r>
          </w:hyperlink>
        </w:p>
        <w:p w14:paraId="19D94FA1" w14:textId="56A0AFE8" w:rsidR="00B52B80" w:rsidRPr="008D7F27" w:rsidRDefault="00B52B80">
          <w:pPr>
            <w:rPr>
              <w:lang w:val="es-ES"/>
            </w:rPr>
          </w:pPr>
          <w:r w:rsidRPr="008D7F27">
            <w:rPr>
              <w:b/>
              <w:bCs/>
              <w:noProof/>
              <w:lang w:val="es-ES"/>
            </w:rPr>
            <w:fldChar w:fldCharType="end"/>
          </w:r>
        </w:p>
      </w:sdtContent>
    </w:sdt>
    <w:p w14:paraId="40D0A529" w14:textId="77777777" w:rsidR="00946D8B" w:rsidRPr="008D7F27" w:rsidRDefault="00B52B80">
      <w:pPr>
        <w:rPr>
          <w:lang w:val="es-ES"/>
        </w:rPr>
        <w:sectPr w:rsidR="00946D8B" w:rsidRPr="008D7F27" w:rsidSect="00FE7C45">
          <w:headerReference w:type="even" r:id="rId11"/>
          <w:headerReference w:type="default" r:id="rId12"/>
          <w:footerReference w:type="even" r:id="rId13"/>
          <w:footerReference w:type="default" r:id="rId14"/>
          <w:headerReference w:type="first" r:id="rId15"/>
          <w:footerReference w:type="first" r:id="rId16"/>
          <w:type w:val="nextColumn"/>
          <w:pgSz w:w="12240" w:h="15840"/>
          <w:pgMar w:top="1440" w:right="1440" w:bottom="1440" w:left="1440" w:header="709" w:footer="709" w:gutter="0"/>
          <w:cols w:space="708"/>
          <w:docGrid w:linePitch="360"/>
        </w:sectPr>
      </w:pPr>
      <w:bookmarkStart w:id="0" w:name="_Toc225845981"/>
      <w:bookmarkStart w:id="1" w:name="_Toc225846064"/>
      <w:r w:rsidRPr="008D7F27">
        <w:rPr>
          <w:lang w:val="es-ES"/>
        </w:rPr>
        <w:br w:type="page"/>
      </w:r>
    </w:p>
    <w:p w14:paraId="1F5CEF49" w14:textId="77777777" w:rsidR="00B52B80" w:rsidRPr="008D7F27" w:rsidRDefault="3D3545BE" w:rsidP="00907C68">
      <w:pPr>
        <w:pStyle w:val="Ttulo1"/>
        <w:rPr>
          <w:lang w:val="es-ES"/>
        </w:rPr>
      </w:pPr>
      <w:bookmarkStart w:id="2" w:name="_Toc229145818"/>
      <w:bookmarkStart w:id="3" w:name="_Toc2100861063"/>
      <w:r w:rsidRPr="16F44784">
        <w:rPr>
          <w:lang w:val="es-ES"/>
        </w:rPr>
        <w:lastRenderedPageBreak/>
        <w:t>Introducción</w:t>
      </w:r>
      <w:bookmarkEnd w:id="2"/>
      <w:bookmarkEnd w:id="3"/>
    </w:p>
    <w:p w14:paraId="4B5491BF" w14:textId="77777777" w:rsidR="00B52B80" w:rsidRPr="008D7F27" w:rsidRDefault="00B52B80" w:rsidP="00537988">
      <w:pPr>
        <w:rPr>
          <w:lang w:val="es-ES"/>
        </w:rPr>
      </w:pPr>
      <w:r w:rsidRPr="008D7F27">
        <w:rPr>
          <w:lang w:val="es-ES"/>
        </w:rPr>
        <w:t>El presente documento tiene por objeto revisar los lineamientos adoptados para la determinación de minerales estratégicos en Colombia</w:t>
      </w:r>
      <w:r w:rsidR="00E6270D" w:rsidRPr="008D7F27">
        <w:rPr>
          <w:lang w:val="es-ES"/>
        </w:rPr>
        <w:t xml:space="preserve"> definidos mediante Acuerdo 01 del 01 de julio de 2023 por el Consejo Directivo de la ANM</w:t>
      </w:r>
      <w:r w:rsidRPr="008D7F27">
        <w:rPr>
          <w:lang w:val="es-ES"/>
        </w:rPr>
        <w:t xml:space="preserve">, con el fin de fortalecer su consistencia técnica, su capacidad de adaptación frente a los cambios del contexto internacional y su articulación con las necesidades de desarrollo nacional. Para ello, </w:t>
      </w:r>
      <w:r w:rsidR="00E6270D" w:rsidRPr="008D7F27">
        <w:rPr>
          <w:lang w:val="es-ES"/>
        </w:rPr>
        <w:t xml:space="preserve">se </w:t>
      </w:r>
      <w:r w:rsidRPr="008D7F27">
        <w:rPr>
          <w:lang w:val="es-ES"/>
        </w:rPr>
        <w:t>desarroll</w:t>
      </w:r>
      <w:r w:rsidR="00E6270D" w:rsidRPr="008D7F27">
        <w:rPr>
          <w:lang w:val="es-ES"/>
        </w:rPr>
        <w:t>ó</w:t>
      </w:r>
      <w:r w:rsidRPr="008D7F27">
        <w:rPr>
          <w:lang w:val="es-ES"/>
        </w:rPr>
        <w:t xml:space="preserve"> un ejercicio de análisis compara</w:t>
      </w:r>
      <w:r w:rsidR="00E6270D" w:rsidRPr="008D7F27">
        <w:rPr>
          <w:lang w:val="es-ES"/>
        </w:rPr>
        <w:t>tivo</w:t>
      </w:r>
      <w:r w:rsidRPr="008D7F27">
        <w:rPr>
          <w:lang w:val="es-ES"/>
        </w:rPr>
        <w:t xml:space="preserve"> orientado a identificar los conceptos, criterios, variables, enfoques y metodologías utilizad</w:t>
      </w:r>
      <w:r w:rsidR="00E6270D" w:rsidRPr="008D7F27">
        <w:rPr>
          <w:lang w:val="es-ES"/>
        </w:rPr>
        <w:t>a</w:t>
      </w:r>
      <w:r w:rsidRPr="008D7F27">
        <w:rPr>
          <w:lang w:val="es-ES"/>
        </w:rPr>
        <w:t>s en distintos países, contrastarlos con el contexto colombiano y, a partir de ello, formular una propuesta de lineamientos actualizados aplicables a la realidad nacional</w:t>
      </w:r>
      <w:r w:rsidR="00E6270D" w:rsidRPr="008D7F27">
        <w:rPr>
          <w:lang w:val="es-ES"/>
        </w:rPr>
        <w:t xml:space="preserve"> actual</w:t>
      </w:r>
      <w:r w:rsidRPr="008D7F27">
        <w:rPr>
          <w:lang w:val="es-ES"/>
        </w:rPr>
        <w:t>.</w:t>
      </w:r>
    </w:p>
    <w:p w14:paraId="06681825" w14:textId="77777777" w:rsidR="00B52B80" w:rsidRPr="008D7F27" w:rsidRDefault="00B52B80" w:rsidP="00537988">
      <w:pPr>
        <w:rPr>
          <w:lang w:val="es-ES"/>
        </w:rPr>
      </w:pPr>
      <w:r w:rsidRPr="008D7F27">
        <w:rPr>
          <w:lang w:val="es-ES"/>
        </w:rPr>
        <w:t>En ese sentido, la actualización no se concibe como un ejercicio aislado de modificación de un listado, sino como una revisión integral de los fundamentos que orientan la determinación de minerales estratégicos en el país. Bajo esta perspectiva, el documento examina los criterios actualmente vigentes, valora su pertinencia frente a las transformaciones de la economía mundial, la dinámica industrial, la transición energética, la seguridad de suministro y las cadenas globales de valor, y analiza si los lineamientos adoptados hasta ahora continúan siendo suficientes o si, por el contrario, requieren ajustes, ampliaciones, reordenamientos o modificaciones más estructurales.</w:t>
      </w:r>
    </w:p>
    <w:p w14:paraId="6272E90E" w14:textId="77777777" w:rsidR="00B52B80" w:rsidRPr="008D7F27" w:rsidRDefault="00B52B80" w:rsidP="00537988">
      <w:pPr>
        <w:rPr>
          <w:lang w:val="es-ES"/>
        </w:rPr>
      </w:pPr>
      <w:r w:rsidRPr="008D7F27">
        <w:rPr>
          <w:lang w:val="es-ES"/>
        </w:rPr>
        <w:t xml:space="preserve">El análisis parte del reconocimiento de que la Resolución 1006 de 2023 de la Agencia Nacional de Minería estableció el listado vigente de minerales estratégicos en Colombia con fundamento en siete lineamientos </w:t>
      </w:r>
      <w:r w:rsidR="005277F7" w:rsidRPr="008D7F27">
        <w:rPr>
          <w:lang w:val="es-ES"/>
        </w:rPr>
        <w:t>definidos</w:t>
      </w:r>
      <w:r w:rsidR="00012F0E" w:rsidRPr="008D7F27">
        <w:rPr>
          <w:lang w:val="es-ES"/>
        </w:rPr>
        <w:t xml:space="preserve"> en</w:t>
      </w:r>
      <w:r w:rsidR="00AE6692" w:rsidRPr="008D7F27">
        <w:rPr>
          <w:lang w:val="es-ES"/>
        </w:rPr>
        <w:t xml:space="preserve"> </w:t>
      </w:r>
      <w:r w:rsidRPr="008D7F27">
        <w:rPr>
          <w:lang w:val="es-ES"/>
        </w:rPr>
        <w:t xml:space="preserve">el Acuerdo 01 de </w:t>
      </w:r>
      <w:r w:rsidR="008D7F27" w:rsidRPr="008D7F27">
        <w:rPr>
          <w:lang w:val="es-ES"/>
        </w:rPr>
        <w:t>2023.</w:t>
      </w:r>
      <w:r w:rsidRPr="008D7F27">
        <w:rPr>
          <w:lang w:val="es-ES"/>
        </w:rPr>
        <w:t xml:space="preserve"> En consecuencia, la revisión propuesta </w:t>
      </w:r>
      <w:r w:rsidR="008D7F27" w:rsidRPr="008D7F27">
        <w:rPr>
          <w:lang w:val="es-ES"/>
        </w:rPr>
        <w:t>parte de</w:t>
      </w:r>
      <w:r w:rsidRPr="008D7F27">
        <w:rPr>
          <w:lang w:val="es-ES"/>
        </w:rPr>
        <w:t xml:space="preserve"> un marco </w:t>
      </w:r>
      <w:r w:rsidR="00012F0E" w:rsidRPr="008D7F27">
        <w:rPr>
          <w:lang w:val="es-ES"/>
        </w:rPr>
        <w:t xml:space="preserve">normativo </w:t>
      </w:r>
      <w:r w:rsidRPr="008D7F27">
        <w:rPr>
          <w:lang w:val="es-ES"/>
        </w:rPr>
        <w:t>previo</w:t>
      </w:r>
      <w:r w:rsidR="00012F0E" w:rsidRPr="008D7F27">
        <w:rPr>
          <w:lang w:val="es-ES"/>
        </w:rPr>
        <w:t>,</w:t>
      </w:r>
      <w:r w:rsidRPr="008D7F27">
        <w:rPr>
          <w:lang w:val="es-ES"/>
        </w:rPr>
        <w:t xml:space="preserve"> que sirve como punto de referencia para evaluar la vigencia, suficiencia y solidez de los lineamientos actuales a la luz de dos aspectos centrales: de una parte, el panorama internacional en materia de minerales críticos y/o estratégicos y, de otra, las condiciones, prioridades y necesidades propias del país.</w:t>
      </w:r>
    </w:p>
    <w:p w14:paraId="6D639EF7" w14:textId="77777777" w:rsidR="00B52B80" w:rsidRPr="008D7F27" w:rsidRDefault="00B52B80" w:rsidP="00537988">
      <w:pPr>
        <w:rPr>
          <w:lang w:val="es-ES"/>
        </w:rPr>
      </w:pPr>
      <w:r w:rsidRPr="008D7F27">
        <w:rPr>
          <w:lang w:val="es-ES"/>
        </w:rPr>
        <w:t>Con base en ello, el documento comprende: i) la revisión de</w:t>
      </w:r>
      <w:r w:rsidR="003A2623" w:rsidRPr="008D7F27">
        <w:rPr>
          <w:lang w:val="es-ES"/>
        </w:rPr>
        <w:t xml:space="preserve"> los </w:t>
      </w:r>
      <w:r w:rsidRPr="008D7F27">
        <w:rPr>
          <w:lang w:val="es-ES"/>
        </w:rPr>
        <w:t xml:space="preserve">lineamientos </w:t>
      </w:r>
      <w:r w:rsidR="003A2623" w:rsidRPr="008D7F27">
        <w:rPr>
          <w:lang w:val="es-ES"/>
        </w:rPr>
        <w:t xml:space="preserve">actuales </w:t>
      </w:r>
      <w:r w:rsidR="00012F0E" w:rsidRPr="008D7F27">
        <w:rPr>
          <w:lang w:val="es-ES"/>
        </w:rPr>
        <w:t>definidos</w:t>
      </w:r>
      <w:r w:rsidRPr="008D7F27">
        <w:rPr>
          <w:lang w:val="es-ES"/>
        </w:rPr>
        <w:t xml:space="preserve"> en Colombia para la determinación de minerales estratégicos; ii) el análisis comparado de la experiencia internacional; iii) el contraste de dicho panorama con el contexto nacional; y iv) la formulación de una propuesta de </w:t>
      </w:r>
      <w:r w:rsidR="00614B58" w:rsidRPr="008D7F27">
        <w:rPr>
          <w:lang w:val="es-ES"/>
        </w:rPr>
        <w:t xml:space="preserve">nuevos </w:t>
      </w:r>
      <w:r w:rsidRPr="008D7F27">
        <w:rPr>
          <w:lang w:val="es-ES"/>
        </w:rPr>
        <w:t>lineamiento</w:t>
      </w:r>
      <w:r w:rsidR="00614B58" w:rsidRPr="008D7F27">
        <w:rPr>
          <w:lang w:val="es-ES"/>
        </w:rPr>
        <w:t>s</w:t>
      </w:r>
      <w:r w:rsidRPr="008D7F27">
        <w:rPr>
          <w:lang w:val="es-ES"/>
        </w:rPr>
        <w:t xml:space="preserve">, debidamente sustentada, orientada a la </w:t>
      </w:r>
      <w:r w:rsidR="007E7252" w:rsidRPr="008D7F27">
        <w:rPr>
          <w:lang w:val="es-ES"/>
        </w:rPr>
        <w:t xml:space="preserve">actualización </w:t>
      </w:r>
      <w:r w:rsidRPr="008D7F27">
        <w:rPr>
          <w:lang w:val="es-ES"/>
        </w:rPr>
        <w:t>de los lineamientos actualmente vigentes y a servir de base para una posterior actualización del listado nacional.</w:t>
      </w:r>
    </w:p>
    <w:p w14:paraId="21D6649D" w14:textId="77777777" w:rsidR="009D18BE" w:rsidRPr="008D7F27" w:rsidRDefault="00B52B80" w:rsidP="00537988">
      <w:pPr>
        <w:rPr>
          <w:lang w:val="es-ES"/>
        </w:rPr>
      </w:pPr>
      <w:r w:rsidRPr="008D7F27">
        <w:rPr>
          <w:lang w:val="es-ES"/>
        </w:rPr>
        <w:t xml:space="preserve">De esta manera, el documento no solo identifica tendencias, coincidencias y divergencias en la forma en que </w:t>
      </w:r>
      <w:r w:rsidR="00E87CFB" w:rsidRPr="008D7F27">
        <w:rPr>
          <w:lang w:val="es-ES"/>
        </w:rPr>
        <w:t xml:space="preserve">distintos países </w:t>
      </w:r>
      <w:r w:rsidRPr="008D7F27">
        <w:rPr>
          <w:lang w:val="es-ES"/>
        </w:rPr>
        <w:t>abordan la determinación de minerales críticos y</w:t>
      </w:r>
      <w:r w:rsidR="007E7252" w:rsidRPr="008D7F27">
        <w:rPr>
          <w:lang w:val="es-ES"/>
        </w:rPr>
        <w:t>/o</w:t>
      </w:r>
      <w:r w:rsidRPr="008D7F27">
        <w:rPr>
          <w:lang w:val="es-ES"/>
        </w:rPr>
        <w:t xml:space="preserve"> estratégicos, sino que también consolida una base técnica y argumentativa para la </w:t>
      </w:r>
      <w:r w:rsidR="007E7252" w:rsidRPr="008D7F27">
        <w:rPr>
          <w:lang w:val="es-ES"/>
        </w:rPr>
        <w:t>actualización</w:t>
      </w:r>
      <w:r w:rsidRPr="008D7F27">
        <w:rPr>
          <w:lang w:val="es-ES"/>
        </w:rPr>
        <w:t xml:space="preserve"> de los lineamientos actualmente adoptados en Colombia y formula una propuesta de lineamientos actualizados para la </w:t>
      </w:r>
      <w:r w:rsidRPr="008D7F27">
        <w:rPr>
          <w:lang w:val="es-ES"/>
        </w:rPr>
        <w:lastRenderedPageBreak/>
        <w:t>determinación de minerales estratégicos en el país. Con ello, se busca que futuras decisiones sobre la materia respondan de mejor manera tanto a las dinámicas internacionales como a los objetivos de desarrollo nacional, las prioridades productivas del país y las particularidades de su contexto geológico, económico e institucional.</w:t>
      </w:r>
    </w:p>
    <w:p w14:paraId="38DEB0AE" w14:textId="77777777" w:rsidR="00C52A27" w:rsidRPr="008D7F27" w:rsidRDefault="0762532A" w:rsidP="00C52A27">
      <w:pPr>
        <w:pStyle w:val="Ttulo1"/>
        <w:rPr>
          <w:lang w:val="es-ES"/>
        </w:rPr>
      </w:pPr>
      <w:bookmarkStart w:id="4" w:name="_Toc225845982"/>
      <w:bookmarkStart w:id="5" w:name="_Toc225846065"/>
      <w:bookmarkStart w:id="6" w:name="_Toc229145819"/>
      <w:bookmarkStart w:id="7" w:name="_Toc791001972"/>
      <w:bookmarkEnd w:id="0"/>
      <w:bookmarkEnd w:id="1"/>
      <w:r w:rsidRPr="16F44784">
        <w:rPr>
          <w:lang w:val="es-ES"/>
        </w:rPr>
        <w:lastRenderedPageBreak/>
        <w:t xml:space="preserve">Justificación </w:t>
      </w:r>
      <w:bookmarkEnd w:id="4"/>
      <w:bookmarkEnd w:id="5"/>
      <w:r w:rsidR="5ED5A78A" w:rsidRPr="16F44784">
        <w:rPr>
          <w:lang w:val="es-ES"/>
        </w:rPr>
        <w:t>para la actualización de lineamientos</w:t>
      </w:r>
      <w:bookmarkEnd w:id="6"/>
      <w:bookmarkEnd w:id="7"/>
    </w:p>
    <w:p w14:paraId="522CCE4A" w14:textId="77777777" w:rsidR="007D5318" w:rsidRPr="008D7F27" w:rsidRDefault="477CCB87" w:rsidP="00537988">
      <w:pPr>
        <w:rPr>
          <w:lang w:val="es-ES"/>
        </w:rPr>
      </w:pPr>
      <w:r w:rsidRPr="008D7F27">
        <w:rPr>
          <w:lang w:val="es-ES"/>
        </w:rPr>
        <w:t xml:space="preserve">La actualización de los lineamientos para la determinación de minerales estratégicos en Colombia </w:t>
      </w:r>
      <w:r w:rsidR="00175AA7" w:rsidRPr="008D7F27">
        <w:rPr>
          <w:lang w:val="es-ES"/>
        </w:rPr>
        <w:t xml:space="preserve">surge ante </w:t>
      </w:r>
      <w:r w:rsidR="008D7F27" w:rsidRPr="008D7F27">
        <w:rPr>
          <w:lang w:val="es-ES"/>
        </w:rPr>
        <w:t>la necesidad</w:t>
      </w:r>
      <w:r w:rsidRPr="008D7F27">
        <w:rPr>
          <w:lang w:val="es-ES"/>
        </w:rPr>
        <w:t xml:space="preserve"> de contar con un marco técnico adaptable y suficientemente robusto para responder a un entorno internacional dinámico, en el cual los minerales han adquirido una creciente relevancia por su papel en la transición energética, la manufactura avanzada, </w:t>
      </w:r>
      <w:r w:rsidR="007E5042" w:rsidRPr="008D7F27">
        <w:rPr>
          <w:lang w:val="es-ES"/>
        </w:rPr>
        <w:t>avances tecnológicos</w:t>
      </w:r>
      <w:r w:rsidRPr="008D7F27">
        <w:rPr>
          <w:lang w:val="es-ES"/>
        </w:rPr>
        <w:t>, la defensa, la seguridad de suministro y la reconfiguración de las cadenas globales de valor. Las experiencias internacionales revisadas muestran que la identificación de minerales críticos y/o estratégicos ha dejado de ser una decisión estática y ha pasado a concebirse, en muchos países, como un proceso de actualización periódica o flexible, asociado a cambios tecnológicos, geopolíticos, comerciales y productivos.</w:t>
      </w:r>
    </w:p>
    <w:p w14:paraId="1BF2C6E0" w14:textId="77777777" w:rsidR="00B52B80" w:rsidRPr="008D7F27" w:rsidRDefault="007E5042" w:rsidP="00537988">
      <w:pPr>
        <w:rPr>
          <w:lang w:val="es-ES"/>
        </w:rPr>
      </w:pPr>
      <w:r w:rsidRPr="008D7F27">
        <w:rPr>
          <w:lang w:val="es-ES"/>
        </w:rPr>
        <w:t>Acorde con lo anterior</w:t>
      </w:r>
      <w:r w:rsidR="477CCB87" w:rsidRPr="008D7F27">
        <w:rPr>
          <w:lang w:val="es-ES"/>
        </w:rPr>
        <w:t xml:space="preserve">, resulta necesario revisar si los siete lineamientos </w:t>
      </w:r>
      <w:r w:rsidRPr="008D7F27">
        <w:rPr>
          <w:lang w:val="es-ES"/>
        </w:rPr>
        <w:t>definidos  en el Acuerdo 01 de 2023</w:t>
      </w:r>
      <w:r w:rsidR="477CCB87" w:rsidRPr="008D7F27">
        <w:rPr>
          <w:lang w:val="es-ES"/>
        </w:rPr>
        <w:t xml:space="preserve"> </w:t>
      </w:r>
      <w:r w:rsidR="5DC16D31" w:rsidRPr="008D7F27">
        <w:rPr>
          <w:lang w:val="es-ES"/>
        </w:rPr>
        <w:t>: i) soberanía del Estado colombiano sobre los recursos minerales de propiedad estatal, ii) existencia de ambientes geológicos favorables y priorización de la investigación, iii) demanda de minerales para la transición energética, iv) demanda de minerales para la seguridad alimentaria, v) demanda de minerales para el desarrollo industrial y de la infraestructura pública, vi) minerales para el autoabastecimiento y vii) minerales para promover la asociatividad,</w:t>
      </w:r>
      <w:r w:rsidR="477CCB87" w:rsidRPr="008D7F27">
        <w:rPr>
          <w:lang w:val="es-ES"/>
        </w:rPr>
        <w:t xml:space="preserve"> </w:t>
      </w:r>
      <w:r w:rsidRPr="008D7F27">
        <w:rPr>
          <w:lang w:val="es-ES"/>
        </w:rPr>
        <w:t xml:space="preserve">son suficientes y consideran en su generalidad los diversos factores que cobran relevancia en el contexto actual </w:t>
      </w:r>
      <w:r w:rsidR="00355F14" w:rsidRPr="008D7F27">
        <w:rPr>
          <w:lang w:val="es-ES"/>
        </w:rPr>
        <w:t xml:space="preserve">a </w:t>
      </w:r>
      <w:r w:rsidR="477CCB87" w:rsidRPr="008D7F27">
        <w:rPr>
          <w:lang w:val="es-ES"/>
        </w:rPr>
        <w:t xml:space="preserve">escala internacional y nacional. </w:t>
      </w:r>
    </w:p>
    <w:p w14:paraId="4BC4389F" w14:textId="77777777" w:rsidR="007D5318" w:rsidRPr="008D7F27" w:rsidRDefault="477CCB87" w:rsidP="00537988">
      <w:pPr>
        <w:rPr>
          <w:lang w:val="es-ES"/>
        </w:rPr>
      </w:pPr>
      <w:r w:rsidRPr="008D7F27">
        <w:rPr>
          <w:lang w:val="es-ES"/>
        </w:rPr>
        <w:t xml:space="preserve">La revisión </w:t>
      </w:r>
      <w:r w:rsidR="00355F14" w:rsidRPr="008D7F27">
        <w:rPr>
          <w:lang w:val="es-ES"/>
        </w:rPr>
        <w:t xml:space="preserve">presentada en este documento </w:t>
      </w:r>
      <w:r w:rsidRPr="008D7F27">
        <w:rPr>
          <w:lang w:val="es-ES"/>
        </w:rPr>
        <w:t>busca identificar cuáles de esos lineamientos mantienen plena vigencia, cuáles requieren ser ajustados y cuáles podrían complementarse con nuevas consideraciones derivadas del análisis comparado, sin perder de vista que el propósito del ejercicio no es trasladar mecánicamente modelos externos al caso colombiano, sino identificar criterios útiles, replicables o adaptables al contexto nacional.</w:t>
      </w:r>
    </w:p>
    <w:p w14:paraId="41BCFCE9" w14:textId="77777777" w:rsidR="007D5318" w:rsidRPr="008D7F27" w:rsidRDefault="009B5182" w:rsidP="00537988">
      <w:pPr>
        <w:rPr>
          <w:lang w:val="es-ES"/>
        </w:rPr>
      </w:pPr>
      <w:r w:rsidRPr="008D7F27">
        <w:rPr>
          <w:lang w:val="es-ES"/>
        </w:rPr>
        <w:t xml:space="preserve">Además, es importante considerar que </w:t>
      </w:r>
      <w:r w:rsidR="477CCB87" w:rsidRPr="008D7F27">
        <w:rPr>
          <w:lang w:val="es-ES"/>
        </w:rPr>
        <w:t xml:space="preserve">la determinación de minerales estratégicos debe responder no solo a la demanda internacional y a las necesidades de la industria mundial, sino </w:t>
      </w:r>
      <w:r w:rsidR="008D7F27" w:rsidRPr="008D7F27">
        <w:rPr>
          <w:lang w:val="es-ES"/>
        </w:rPr>
        <w:t>también a</w:t>
      </w:r>
      <w:r w:rsidR="477CCB87" w:rsidRPr="008D7F27">
        <w:rPr>
          <w:lang w:val="es-ES"/>
        </w:rPr>
        <w:t xml:space="preserve"> los objetivos de desarrollo del Estado colombiano. Por ello, la actualización debe reconocer de forma simultánea variables asociadas a </w:t>
      </w:r>
      <w:r w:rsidRPr="008D7F27">
        <w:rPr>
          <w:lang w:val="es-ES"/>
        </w:rPr>
        <w:t xml:space="preserve">favorabilidad </w:t>
      </w:r>
      <w:r w:rsidR="477CCB87" w:rsidRPr="008D7F27">
        <w:rPr>
          <w:lang w:val="es-ES"/>
        </w:rPr>
        <w:t xml:space="preserve">geológica, potencial productivo, comercio exterior, inserción en cadenas de valor, desarrollo territorial, agregación de valor, seguridad de abastecimiento, transición energética, reindustrialización y demás que resulten pertinentes. En otras palabras, se requiere un marco de lineamientos que </w:t>
      </w:r>
      <w:r w:rsidRPr="008D7F27">
        <w:rPr>
          <w:lang w:val="es-ES"/>
        </w:rPr>
        <w:t xml:space="preserve">además de </w:t>
      </w:r>
      <w:r w:rsidR="008D7F27" w:rsidRPr="008D7F27">
        <w:rPr>
          <w:lang w:val="es-ES"/>
        </w:rPr>
        <w:t>considerar el</w:t>
      </w:r>
      <w:r w:rsidRPr="008D7F27">
        <w:rPr>
          <w:lang w:val="es-ES"/>
        </w:rPr>
        <w:t xml:space="preserve"> contexto</w:t>
      </w:r>
      <w:r w:rsidR="477CCB87" w:rsidRPr="008D7F27">
        <w:rPr>
          <w:lang w:val="es-ES"/>
        </w:rPr>
        <w:t xml:space="preserve"> mundial, </w:t>
      </w:r>
      <w:r w:rsidRPr="008D7F27">
        <w:rPr>
          <w:lang w:val="es-ES"/>
        </w:rPr>
        <w:t xml:space="preserve">tenga en cuenta los </w:t>
      </w:r>
      <w:r w:rsidR="477CCB87" w:rsidRPr="008D7F27">
        <w:rPr>
          <w:lang w:val="es-ES"/>
        </w:rPr>
        <w:t xml:space="preserve">aspectos </w:t>
      </w:r>
      <w:r w:rsidRPr="008D7F27">
        <w:rPr>
          <w:lang w:val="es-ES"/>
        </w:rPr>
        <w:t xml:space="preserve">que resulten ser </w:t>
      </w:r>
      <w:r w:rsidR="477CCB87" w:rsidRPr="008D7F27">
        <w:rPr>
          <w:lang w:val="es-ES"/>
        </w:rPr>
        <w:t>relevantes para Colombia</w:t>
      </w:r>
      <w:r w:rsidR="00E67B49" w:rsidRPr="008D7F27">
        <w:rPr>
          <w:lang w:val="es-ES"/>
        </w:rPr>
        <w:t>.</w:t>
      </w:r>
    </w:p>
    <w:p w14:paraId="0A3F459F" w14:textId="77777777" w:rsidR="007D5318" w:rsidRPr="008D7F27" w:rsidRDefault="477CCB87" w:rsidP="00537988">
      <w:pPr>
        <w:rPr>
          <w:lang w:val="es-ES"/>
        </w:rPr>
      </w:pPr>
      <w:r w:rsidRPr="008D7F27">
        <w:rPr>
          <w:lang w:val="es-ES"/>
        </w:rPr>
        <w:t xml:space="preserve">Bajo esta perspectiva, la actualización de lineamientos se fundamenta en tres razones principales. La primera es de orden técnico, en tanto el contexto internacional muestra una expansión, diversificación y sofisticación de los enfoques utilizados para definir minerales críticos y/o estratégicos. La segunda es de orden normativo e </w:t>
      </w:r>
      <w:r w:rsidRPr="008D7F27">
        <w:rPr>
          <w:lang w:val="es-ES"/>
        </w:rPr>
        <w:lastRenderedPageBreak/>
        <w:t xml:space="preserve">institucional, pues Colombia ya cuenta con una base previa de lineamientos que </w:t>
      </w:r>
      <w:r w:rsidR="0032483C" w:rsidRPr="008D7F27">
        <w:rPr>
          <w:lang w:val="es-ES"/>
        </w:rPr>
        <w:t>puede</w:t>
      </w:r>
      <w:r w:rsidRPr="008D7F27">
        <w:rPr>
          <w:lang w:val="es-ES"/>
        </w:rPr>
        <w:t xml:space="preserve"> ser revisada y eventualmente reformulada de manera ordenada, explícita y justificable. La tercera es de orden estratégico, dado que la </w:t>
      </w:r>
      <w:r w:rsidR="0032483C" w:rsidRPr="008D7F27">
        <w:rPr>
          <w:lang w:val="es-ES"/>
        </w:rPr>
        <w:t xml:space="preserve">determinación </w:t>
      </w:r>
      <w:r w:rsidRPr="008D7F27">
        <w:rPr>
          <w:lang w:val="es-ES"/>
        </w:rPr>
        <w:t xml:space="preserve">de minerales estratégicos incide en la orientación de la política minera, en la priorización del conocimiento geológico, en la interlocución con otras entidades del Estado y en la forma como el país </w:t>
      </w:r>
      <w:r w:rsidR="0032483C" w:rsidRPr="008D7F27">
        <w:rPr>
          <w:lang w:val="es-ES"/>
        </w:rPr>
        <w:t>promociona</w:t>
      </w:r>
      <w:r w:rsidRPr="008D7F27">
        <w:rPr>
          <w:lang w:val="es-ES"/>
        </w:rPr>
        <w:t xml:space="preserve"> su potencial mineral dentro de las transformaciones de la industria y de la demanda de materias primas</w:t>
      </w:r>
      <w:r w:rsidR="0032483C" w:rsidRPr="008D7F27">
        <w:rPr>
          <w:lang w:val="es-ES"/>
        </w:rPr>
        <w:t xml:space="preserve"> a nivel global</w:t>
      </w:r>
      <w:r w:rsidRPr="008D7F27">
        <w:rPr>
          <w:lang w:val="es-ES"/>
        </w:rPr>
        <w:t>.</w:t>
      </w:r>
    </w:p>
    <w:p w14:paraId="385EA979" w14:textId="77777777" w:rsidR="007D5318" w:rsidRPr="008D7F27" w:rsidRDefault="007D5318" w:rsidP="00537988">
      <w:pPr>
        <w:rPr>
          <w:lang w:val="es-ES"/>
        </w:rPr>
      </w:pPr>
      <w:r w:rsidRPr="008D7F27">
        <w:rPr>
          <w:lang w:val="es-ES"/>
        </w:rPr>
        <w:t xml:space="preserve">En consecuencia, el presente documento se orienta a </w:t>
      </w:r>
      <w:r w:rsidR="001202C8" w:rsidRPr="008D7F27">
        <w:rPr>
          <w:lang w:val="es-ES"/>
        </w:rPr>
        <w:t xml:space="preserve">la construcción de lineamientos para la determinación de minerales estratégicos, considerando el </w:t>
      </w:r>
      <w:r w:rsidRPr="008D7F27">
        <w:rPr>
          <w:lang w:val="es-ES"/>
        </w:rPr>
        <w:t xml:space="preserve">marco </w:t>
      </w:r>
      <w:r w:rsidR="001202C8" w:rsidRPr="008D7F27">
        <w:rPr>
          <w:lang w:val="es-ES"/>
        </w:rPr>
        <w:t xml:space="preserve">normativo </w:t>
      </w:r>
      <w:r w:rsidRPr="008D7F27">
        <w:rPr>
          <w:lang w:val="es-ES"/>
        </w:rPr>
        <w:t>vigente</w:t>
      </w:r>
      <w:r w:rsidR="001202C8" w:rsidRPr="008D7F27">
        <w:rPr>
          <w:lang w:val="es-ES"/>
        </w:rPr>
        <w:t xml:space="preserve">, el contexto nacional e internacional, para </w:t>
      </w:r>
      <w:r w:rsidR="00AE6692" w:rsidRPr="008D7F27">
        <w:rPr>
          <w:lang w:val="es-ES"/>
        </w:rPr>
        <w:t>así</w:t>
      </w:r>
      <w:r w:rsidRPr="008D7F27">
        <w:rPr>
          <w:lang w:val="es-ES"/>
        </w:rPr>
        <w:t xml:space="preserve"> sentar </w:t>
      </w:r>
      <w:r w:rsidR="001202C8" w:rsidRPr="008D7F27">
        <w:rPr>
          <w:lang w:val="es-ES"/>
        </w:rPr>
        <w:t>unas</w:t>
      </w:r>
      <w:r w:rsidRPr="008D7F27">
        <w:rPr>
          <w:lang w:val="es-ES"/>
        </w:rPr>
        <w:t xml:space="preserve"> bases metodológicas y comparativas necesarias para </w:t>
      </w:r>
      <w:r w:rsidR="001202C8" w:rsidRPr="008D7F27">
        <w:rPr>
          <w:lang w:val="es-ES"/>
        </w:rPr>
        <w:t xml:space="preserve">el </w:t>
      </w:r>
      <w:r w:rsidR="00AE6692" w:rsidRPr="008D7F27">
        <w:rPr>
          <w:lang w:val="es-ES"/>
        </w:rPr>
        <w:t>análisis</w:t>
      </w:r>
      <w:r w:rsidR="001202C8" w:rsidRPr="008D7F27">
        <w:rPr>
          <w:lang w:val="es-ES"/>
        </w:rPr>
        <w:t xml:space="preserve"> y </w:t>
      </w:r>
      <w:r w:rsidRPr="008D7F27">
        <w:rPr>
          <w:lang w:val="es-ES"/>
        </w:rPr>
        <w:t xml:space="preserve">formulación de </w:t>
      </w:r>
      <w:r w:rsidR="001202C8" w:rsidRPr="008D7F27">
        <w:rPr>
          <w:lang w:val="es-ES"/>
        </w:rPr>
        <w:t xml:space="preserve">unos </w:t>
      </w:r>
      <w:r w:rsidRPr="008D7F27">
        <w:rPr>
          <w:lang w:val="es-ES"/>
        </w:rPr>
        <w:t xml:space="preserve">lineamientos </w:t>
      </w:r>
      <w:r w:rsidR="001202C8" w:rsidRPr="008D7F27">
        <w:rPr>
          <w:lang w:val="es-ES"/>
        </w:rPr>
        <w:t xml:space="preserve">actualizados </w:t>
      </w:r>
      <w:r w:rsidRPr="008D7F27">
        <w:rPr>
          <w:lang w:val="es-ES"/>
        </w:rPr>
        <w:t>para Colombia</w:t>
      </w:r>
      <w:r w:rsidR="001202C8" w:rsidRPr="008D7F27">
        <w:rPr>
          <w:lang w:val="es-ES"/>
        </w:rPr>
        <w:t>.</w:t>
      </w:r>
    </w:p>
    <w:p w14:paraId="22985017" w14:textId="77777777" w:rsidR="00C52A27" w:rsidRPr="008D7F27" w:rsidRDefault="34C9DA4B" w:rsidP="00C52A27">
      <w:pPr>
        <w:pStyle w:val="Ttulo1"/>
        <w:rPr>
          <w:lang w:val="es-ES"/>
        </w:rPr>
      </w:pPr>
      <w:bookmarkStart w:id="8" w:name="_Toc225845983"/>
      <w:bookmarkStart w:id="9" w:name="_Toc225846066"/>
      <w:bookmarkStart w:id="10" w:name="_Toc229145820"/>
      <w:bookmarkStart w:id="11" w:name="_Toc920318613"/>
      <w:r w:rsidRPr="16F44784">
        <w:rPr>
          <w:lang w:val="es-ES"/>
        </w:rPr>
        <w:lastRenderedPageBreak/>
        <w:t xml:space="preserve">Marco metodológico </w:t>
      </w:r>
      <w:r w:rsidR="0762532A" w:rsidRPr="16F44784">
        <w:rPr>
          <w:lang w:val="es-ES"/>
        </w:rPr>
        <w:t>para la actualización de lineamientos</w:t>
      </w:r>
      <w:bookmarkEnd w:id="8"/>
      <w:bookmarkEnd w:id="9"/>
      <w:bookmarkEnd w:id="10"/>
      <w:bookmarkEnd w:id="11"/>
    </w:p>
    <w:p w14:paraId="4845409F" w14:textId="77777777" w:rsidR="3B948A05" w:rsidRPr="008D7F27" w:rsidRDefault="026D4E2F" w:rsidP="00537988">
      <w:pPr>
        <w:rPr>
          <w:lang w:val="es-ES"/>
        </w:rPr>
      </w:pPr>
      <w:r w:rsidRPr="008D7F27">
        <w:rPr>
          <w:lang w:val="es-ES"/>
        </w:rPr>
        <w:t>El marco</w:t>
      </w:r>
      <w:r w:rsidR="6DC6ABCD" w:rsidRPr="008D7F27">
        <w:rPr>
          <w:lang w:val="es-ES"/>
        </w:rPr>
        <w:t xml:space="preserve"> </w:t>
      </w:r>
      <w:r w:rsidRPr="008D7F27">
        <w:rPr>
          <w:lang w:val="es-ES"/>
        </w:rPr>
        <w:t xml:space="preserve">metodológico </w:t>
      </w:r>
      <w:r w:rsidR="4E418C81" w:rsidRPr="008D7F27">
        <w:rPr>
          <w:lang w:val="es-ES"/>
        </w:rPr>
        <w:t>desarroll</w:t>
      </w:r>
      <w:r w:rsidR="6DC6ABCD" w:rsidRPr="008D7F27">
        <w:rPr>
          <w:lang w:val="es-ES"/>
        </w:rPr>
        <w:t>ad</w:t>
      </w:r>
      <w:r w:rsidR="12706E53" w:rsidRPr="008D7F27">
        <w:rPr>
          <w:lang w:val="es-ES"/>
        </w:rPr>
        <w:t>o</w:t>
      </w:r>
      <w:r w:rsidR="6DC6ABCD" w:rsidRPr="008D7F27">
        <w:rPr>
          <w:lang w:val="es-ES"/>
        </w:rPr>
        <w:t xml:space="preserve"> para la actualización de lineamientos sigue una lógica secuencial y comparativa. Su propósito es </w:t>
      </w:r>
      <w:r w:rsidR="00355F14" w:rsidRPr="008D7F27">
        <w:rPr>
          <w:lang w:val="es-ES"/>
        </w:rPr>
        <w:t>establecer</w:t>
      </w:r>
      <w:r w:rsidR="001202C8" w:rsidRPr="008D7F27">
        <w:rPr>
          <w:lang w:val="es-ES"/>
        </w:rPr>
        <w:t xml:space="preserve"> las bases para la determinación de </w:t>
      </w:r>
      <w:r w:rsidR="6DC6ABCD" w:rsidRPr="008D7F27">
        <w:rPr>
          <w:lang w:val="es-ES"/>
        </w:rPr>
        <w:t xml:space="preserve">los minerales estratégicos </w:t>
      </w:r>
      <w:r w:rsidR="001202C8" w:rsidRPr="008D7F27">
        <w:rPr>
          <w:lang w:val="es-ES"/>
        </w:rPr>
        <w:t xml:space="preserve">para Colombia, </w:t>
      </w:r>
      <w:r w:rsidR="6DC6ABCD" w:rsidRPr="008D7F27">
        <w:rPr>
          <w:lang w:val="es-ES"/>
        </w:rPr>
        <w:t xml:space="preserve">a partir de información técnicamente sustentada, </w:t>
      </w:r>
      <w:r w:rsidR="001202C8" w:rsidRPr="008D7F27">
        <w:rPr>
          <w:lang w:val="es-ES"/>
        </w:rPr>
        <w:t>que incluye</w:t>
      </w:r>
      <w:r w:rsidR="6DC6ABCD" w:rsidRPr="008D7F27">
        <w:rPr>
          <w:lang w:val="es-ES"/>
        </w:rPr>
        <w:t xml:space="preserve"> </w:t>
      </w:r>
      <w:r w:rsidR="001202C8" w:rsidRPr="008D7F27">
        <w:rPr>
          <w:lang w:val="es-ES"/>
        </w:rPr>
        <w:t>la</w:t>
      </w:r>
      <w:r w:rsidR="6DC6ABCD" w:rsidRPr="008D7F27">
        <w:rPr>
          <w:lang w:val="es-ES"/>
        </w:rPr>
        <w:t xml:space="preserve"> revisión de </w:t>
      </w:r>
      <w:r w:rsidR="00BD18E3" w:rsidRPr="008D7F27">
        <w:rPr>
          <w:lang w:val="es-ES"/>
        </w:rPr>
        <w:t>los</w:t>
      </w:r>
      <w:r w:rsidR="6DC6ABCD" w:rsidRPr="008D7F27">
        <w:rPr>
          <w:lang w:val="es-ES"/>
        </w:rPr>
        <w:t xml:space="preserve"> minerales</w:t>
      </w:r>
      <w:r w:rsidR="00BD18E3" w:rsidRPr="008D7F27">
        <w:rPr>
          <w:lang w:val="es-ES"/>
        </w:rPr>
        <w:t xml:space="preserve"> que resultan ser</w:t>
      </w:r>
      <w:r w:rsidR="6DC6ABCD" w:rsidRPr="008D7F27">
        <w:rPr>
          <w:lang w:val="es-ES"/>
        </w:rPr>
        <w:t xml:space="preserve"> estratégicos y</w:t>
      </w:r>
      <w:r w:rsidR="00BD18E3" w:rsidRPr="008D7F27">
        <w:rPr>
          <w:lang w:val="es-ES"/>
        </w:rPr>
        <w:t>/o</w:t>
      </w:r>
      <w:r w:rsidR="6DC6ABCD" w:rsidRPr="008D7F27">
        <w:rPr>
          <w:lang w:val="es-ES"/>
        </w:rPr>
        <w:t xml:space="preserve"> críticos en el ámbito internacional, el análisis de su pertinencia </w:t>
      </w:r>
      <w:r w:rsidR="7467FD1D" w:rsidRPr="008D7F27">
        <w:rPr>
          <w:lang w:val="es-ES"/>
        </w:rPr>
        <w:t xml:space="preserve">en </w:t>
      </w:r>
      <w:r w:rsidR="6DC6ABCD" w:rsidRPr="008D7F27">
        <w:rPr>
          <w:lang w:val="es-ES"/>
        </w:rPr>
        <w:t xml:space="preserve">el contexto </w:t>
      </w:r>
      <w:r w:rsidR="36623EC0" w:rsidRPr="008D7F27">
        <w:rPr>
          <w:lang w:val="es-ES"/>
        </w:rPr>
        <w:t xml:space="preserve">nacional </w:t>
      </w:r>
      <w:r w:rsidR="6DC6ABCD" w:rsidRPr="008D7F27">
        <w:rPr>
          <w:lang w:val="es-ES"/>
        </w:rPr>
        <w:t>y la incorporación de las especificidades propias de</w:t>
      </w:r>
      <w:r w:rsidR="09B0C187" w:rsidRPr="008D7F27">
        <w:rPr>
          <w:lang w:val="es-ES"/>
        </w:rPr>
        <w:t>l país</w:t>
      </w:r>
      <w:r w:rsidR="6DC6ABCD" w:rsidRPr="008D7F27">
        <w:rPr>
          <w:lang w:val="es-ES"/>
        </w:rPr>
        <w:t xml:space="preserve">. </w:t>
      </w:r>
    </w:p>
    <w:p w14:paraId="23CCEB6E" w14:textId="77777777" w:rsidR="3B948A05" w:rsidRPr="008D7F27" w:rsidRDefault="6DC6ABCD" w:rsidP="00537988">
      <w:pPr>
        <w:rPr>
          <w:lang w:val="es-ES"/>
        </w:rPr>
      </w:pPr>
      <w:r w:rsidRPr="008D7F27">
        <w:rPr>
          <w:lang w:val="es-ES"/>
        </w:rPr>
        <w:t xml:space="preserve">A continuación, se describe el paso a paso desarrollado </w:t>
      </w:r>
      <w:r w:rsidR="003A2623" w:rsidRPr="008D7F27">
        <w:rPr>
          <w:lang w:val="es-ES"/>
        </w:rPr>
        <w:t>por la Agencia Nacional de Minería para la actualización de los lineamientos para la determinación de minerales estratégicos para Colombia.</w:t>
      </w:r>
      <w:r w:rsidRPr="008D7F27">
        <w:rPr>
          <w:lang w:val="es-ES"/>
        </w:rPr>
        <w:t xml:space="preserve"> </w:t>
      </w:r>
    </w:p>
    <w:p w14:paraId="0770A25F" w14:textId="77777777" w:rsidR="3B948A05" w:rsidRPr="008D7F27" w:rsidRDefault="6DC6ABCD" w:rsidP="00537988">
      <w:pPr>
        <w:rPr>
          <w:lang w:val="es-ES"/>
        </w:rPr>
      </w:pPr>
      <w:r w:rsidRPr="008D7F27">
        <w:rPr>
          <w:lang w:val="es-ES"/>
        </w:rPr>
        <w:t xml:space="preserve">En primer lugar, se realizó </w:t>
      </w:r>
      <w:r w:rsidR="00BD18E3" w:rsidRPr="008D7F27">
        <w:rPr>
          <w:lang w:val="es-ES"/>
        </w:rPr>
        <w:t xml:space="preserve">la </w:t>
      </w:r>
      <w:r w:rsidRPr="008D7F27">
        <w:rPr>
          <w:lang w:val="es-ES"/>
        </w:rPr>
        <w:t xml:space="preserve">identificación de países que </w:t>
      </w:r>
      <w:r w:rsidR="00BD18E3" w:rsidRPr="008D7F27">
        <w:rPr>
          <w:lang w:val="es-ES"/>
        </w:rPr>
        <w:t xml:space="preserve">han realizado actividades para la determinación y/o identificación </w:t>
      </w:r>
      <w:r w:rsidRPr="008D7F27">
        <w:rPr>
          <w:lang w:val="es-ES"/>
        </w:rPr>
        <w:t xml:space="preserve">de </w:t>
      </w:r>
      <w:r w:rsidR="00BD18E3" w:rsidRPr="008D7F27">
        <w:rPr>
          <w:lang w:val="es-ES"/>
        </w:rPr>
        <w:t xml:space="preserve">los </w:t>
      </w:r>
      <w:r w:rsidRPr="008D7F27">
        <w:rPr>
          <w:lang w:val="es-ES"/>
        </w:rPr>
        <w:t xml:space="preserve">minerales </w:t>
      </w:r>
      <w:r w:rsidR="00BD18E3" w:rsidRPr="008D7F27">
        <w:rPr>
          <w:lang w:val="es-ES"/>
        </w:rPr>
        <w:t>que resultan ser</w:t>
      </w:r>
      <w:r w:rsidRPr="008D7F27">
        <w:rPr>
          <w:lang w:val="es-ES"/>
        </w:rPr>
        <w:t xml:space="preserve"> estratégicos</w:t>
      </w:r>
      <w:r w:rsidR="597ABBD9" w:rsidRPr="008D7F27">
        <w:rPr>
          <w:lang w:val="es-ES"/>
        </w:rPr>
        <w:t xml:space="preserve"> y</w:t>
      </w:r>
      <w:r w:rsidR="00BD18E3" w:rsidRPr="008D7F27">
        <w:rPr>
          <w:lang w:val="es-ES"/>
        </w:rPr>
        <w:t>/o</w:t>
      </w:r>
      <w:r w:rsidR="597ABBD9" w:rsidRPr="008D7F27">
        <w:rPr>
          <w:lang w:val="es-ES"/>
        </w:rPr>
        <w:t xml:space="preserve"> críticos</w:t>
      </w:r>
      <w:r w:rsidR="00BD18E3" w:rsidRPr="008D7F27">
        <w:rPr>
          <w:lang w:val="es-ES"/>
        </w:rPr>
        <w:t xml:space="preserve"> para cada uno de estos</w:t>
      </w:r>
      <w:r w:rsidRPr="008D7F27">
        <w:rPr>
          <w:lang w:val="es-ES"/>
        </w:rPr>
        <w:t>. Como resultado, se seleccionaron los siguientes países: Alemania, Arabia Saudita, Argentina, Australia, Brasil, Canadá, Chile, China, Corea del Sur, Estados Unidos, Francia, India, Indonesia, Japón, Nigeria, Nueva Zelanda, Perú, Reino Unido, Sudáfrica y Turquía. Adicionalmente, se incluyó</w:t>
      </w:r>
      <w:r w:rsidR="1C290E0F" w:rsidRPr="008D7F27">
        <w:rPr>
          <w:lang w:val="es-ES"/>
        </w:rPr>
        <w:t xml:space="preserve"> la</w:t>
      </w:r>
      <w:r w:rsidRPr="008D7F27">
        <w:rPr>
          <w:lang w:val="es-ES"/>
        </w:rPr>
        <w:t xml:space="preserve"> Unión Europea por su relevancia regulatoria y su enfoque </w:t>
      </w:r>
      <w:r w:rsidR="710B2F53" w:rsidRPr="008D7F27">
        <w:rPr>
          <w:lang w:val="es-ES"/>
        </w:rPr>
        <w:t>regional</w:t>
      </w:r>
      <w:r w:rsidRPr="008D7F27">
        <w:rPr>
          <w:lang w:val="es-ES"/>
        </w:rPr>
        <w:t xml:space="preserve">. </w:t>
      </w:r>
    </w:p>
    <w:p w14:paraId="0711CDF6" w14:textId="496E5A30" w:rsidR="3B948A05" w:rsidRPr="008D7F27" w:rsidRDefault="347FD09E" w:rsidP="00537988">
      <w:pPr>
        <w:rPr>
          <w:lang w:val="es-ES"/>
        </w:rPr>
      </w:pPr>
      <w:r w:rsidRPr="0EFAC22F">
        <w:rPr>
          <w:lang w:val="es-ES"/>
        </w:rPr>
        <w:t xml:space="preserve">Una vez identificados los países, se desarrolló </w:t>
      </w:r>
      <w:r w:rsidR="74C92943" w:rsidRPr="0EFAC22F">
        <w:rPr>
          <w:lang w:val="es-ES"/>
        </w:rPr>
        <w:t xml:space="preserve">para cada uno </w:t>
      </w:r>
      <w:r w:rsidRPr="0EFAC22F">
        <w:rPr>
          <w:lang w:val="es-ES"/>
        </w:rPr>
        <w:t xml:space="preserve">un ejercicio de caracterización de </w:t>
      </w:r>
      <w:r w:rsidR="54FA6B14" w:rsidRPr="0EFAC22F">
        <w:rPr>
          <w:lang w:val="es-ES"/>
        </w:rPr>
        <w:t>los conceptos adoptados</w:t>
      </w:r>
      <w:r w:rsidRPr="0EFAC22F">
        <w:rPr>
          <w:lang w:val="es-ES"/>
        </w:rPr>
        <w:t xml:space="preserve">, </w:t>
      </w:r>
      <w:r w:rsidR="7E5904DF" w:rsidRPr="0EFAC22F">
        <w:rPr>
          <w:lang w:val="es-ES"/>
        </w:rPr>
        <w:t>enfoques</w:t>
      </w:r>
      <w:r w:rsidRPr="0EFAC22F">
        <w:rPr>
          <w:lang w:val="es-ES"/>
        </w:rPr>
        <w:t>, periodicidad</w:t>
      </w:r>
      <w:r w:rsidR="48412FD7" w:rsidRPr="0EFAC22F">
        <w:rPr>
          <w:lang w:val="es-ES"/>
        </w:rPr>
        <w:t xml:space="preserve"> de actualización</w:t>
      </w:r>
      <w:r w:rsidRPr="0EFAC22F">
        <w:rPr>
          <w:lang w:val="es-ES"/>
        </w:rPr>
        <w:t>, criterios de inclusión/exclusión,</w:t>
      </w:r>
      <w:r w:rsidR="29C26AE9" w:rsidRPr="0EFAC22F">
        <w:rPr>
          <w:lang w:val="es-ES"/>
        </w:rPr>
        <w:t xml:space="preserve"> </w:t>
      </w:r>
      <w:r w:rsidRPr="0EFAC22F">
        <w:rPr>
          <w:lang w:val="es-ES"/>
        </w:rPr>
        <w:t>metodologías, variables empleadas</w:t>
      </w:r>
      <w:r w:rsidR="2C0C3088" w:rsidRPr="0EFAC22F">
        <w:rPr>
          <w:lang w:val="es-ES"/>
        </w:rPr>
        <w:t xml:space="preserve"> y</w:t>
      </w:r>
      <w:r w:rsidRPr="0EFAC22F">
        <w:rPr>
          <w:lang w:val="es-ES"/>
        </w:rPr>
        <w:t xml:space="preserve"> listados</w:t>
      </w:r>
      <w:r w:rsidR="0B0E0B40" w:rsidRPr="0EFAC22F">
        <w:rPr>
          <w:lang w:val="es-ES"/>
        </w:rPr>
        <w:t xml:space="preserve"> de minerales</w:t>
      </w:r>
      <w:r w:rsidRPr="0EFAC22F">
        <w:rPr>
          <w:lang w:val="es-ES"/>
        </w:rPr>
        <w:t xml:space="preserve"> </w:t>
      </w:r>
      <w:r w:rsidR="5D5CBB7C" w:rsidRPr="0EFAC22F">
        <w:rPr>
          <w:lang w:val="es-ES"/>
        </w:rPr>
        <w:t>estratégicos y/o críticos</w:t>
      </w:r>
      <w:r w:rsidRPr="0EFAC22F">
        <w:rPr>
          <w:lang w:val="es-ES"/>
        </w:rPr>
        <w:t xml:space="preserve">. Este análisis se </w:t>
      </w:r>
      <w:r w:rsidR="5D5CBB7C" w:rsidRPr="0EFAC22F">
        <w:rPr>
          <w:lang w:val="es-ES"/>
        </w:rPr>
        <w:t>realizó</w:t>
      </w:r>
      <w:r w:rsidR="2F2737A8" w:rsidRPr="0EFAC22F">
        <w:rPr>
          <w:lang w:val="es-ES"/>
        </w:rPr>
        <w:t xml:space="preserve"> </w:t>
      </w:r>
      <w:r w:rsidRPr="0EFAC22F">
        <w:rPr>
          <w:lang w:val="es-ES"/>
        </w:rPr>
        <w:t xml:space="preserve">mediante </w:t>
      </w:r>
      <w:r w:rsidR="5D5CBB7C" w:rsidRPr="0EFAC22F">
        <w:rPr>
          <w:lang w:val="es-ES"/>
        </w:rPr>
        <w:t xml:space="preserve">la elaboración de </w:t>
      </w:r>
      <w:r w:rsidRPr="0EFAC22F">
        <w:rPr>
          <w:lang w:val="es-ES"/>
        </w:rPr>
        <w:t xml:space="preserve">fichas </w:t>
      </w:r>
      <w:r w:rsidR="5D5CBB7C" w:rsidRPr="0EFAC22F">
        <w:rPr>
          <w:lang w:val="es-ES"/>
        </w:rPr>
        <w:t xml:space="preserve">para cada uno de los </w:t>
      </w:r>
      <w:r w:rsidR="74C92943" w:rsidRPr="0EFAC22F">
        <w:rPr>
          <w:lang w:val="es-ES"/>
        </w:rPr>
        <w:t>casos</w:t>
      </w:r>
      <w:r w:rsidR="5D5CBB7C" w:rsidRPr="0EFAC22F">
        <w:rPr>
          <w:lang w:val="es-ES"/>
        </w:rPr>
        <w:t xml:space="preserve"> seleccionados,</w:t>
      </w:r>
      <w:r w:rsidRPr="0EFAC22F">
        <w:rPr>
          <w:lang w:val="es-ES"/>
        </w:rPr>
        <w:t xml:space="preserve"> las cuales constituyen la base documental del </w:t>
      </w:r>
      <w:r w:rsidR="3B0C392D" w:rsidRPr="0EFAC22F">
        <w:rPr>
          <w:lang w:val="es-ES"/>
        </w:rPr>
        <w:t>análisis</w:t>
      </w:r>
      <w:r w:rsidRPr="0EFAC22F">
        <w:rPr>
          <w:lang w:val="es-ES"/>
        </w:rPr>
        <w:t xml:space="preserve"> </w:t>
      </w:r>
      <w:r w:rsidR="16DD3A47" w:rsidRPr="0EFAC22F">
        <w:rPr>
          <w:lang w:val="es-ES"/>
        </w:rPr>
        <w:t>de contexto</w:t>
      </w:r>
      <w:r w:rsidR="689C47A8" w:rsidRPr="0EFAC22F">
        <w:rPr>
          <w:lang w:val="es-ES"/>
        </w:rPr>
        <w:t xml:space="preserve"> </w:t>
      </w:r>
      <w:r w:rsidRPr="0EFAC22F">
        <w:rPr>
          <w:lang w:val="es-ES"/>
        </w:rPr>
        <w:t>internacional y recogen, para cada caso,</w:t>
      </w:r>
      <w:r w:rsidR="625D5909" w:rsidRPr="0EFAC22F">
        <w:rPr>
          <w:lang w:val="es-ES"/>
        </w:rPr>
        <w:t xml:space="preserve"> </w:t>
      </w:r>
      <w:r w:rsidRPr="0EFAC22F">
        <w:rPr>
          <w:lang w:val="es-ES"/>
        </w:rPr>
        <w:t xml:space="preserve">la información más relevante </w:t>
      </w:r>
      <w:r w:rsidR="61DE109B" w:rsidRPr="0EFAC22F">
        <w:rPr>
          <w:lang w:val="es-ES"/>
        </w:rPr>
        <w:t>en cuanto a la</w:t>
      </w:r>
      <w:r w:rsidR="1A65D77B" w:rsidRPr="0EFAC22F">
        <w:rPr>
          <w:lang w:val="es-ES"/>
        </w:rPr>
        <w:t xml:space="preserve"> </w:t>
      </w:r>
      <w:r w:rsidR="61DE109B" w:rsidRPr="0EFAC22F">
        <w:rPr>
          <w:lang w:val="es-ES"/>
        </w:rPr>
        <w:t xml:space="preserve">determinación de </w:t>
      </w:r>
      <w:r w:rsidRPr="0EFAC22F">
        <w:rPr>
          <w:lang w:val="es-ES"/>
        </w:rPr>
        <w:t>los minerales críticos y/o estratégicos</w:t>
      </w:r>
      <w:r w:rsidR="4C7B854B" w:rsidRPr="0EFAC22F">
        <w:rPr>
          <w:lang w:val="es-ES"/>
        </w:rPr>
        <w:t xml:space="preserve"> (Anexo 1 - Fichas de experiencias internacionales)</w:t>
      </w:r>
      <w:r w:rsidRPr="0EFAC22F">
        <w:rPr>
          <w:lang w:val="es-ES"/>
        </w:rPr>
        <w:t xml:space="preserve">. </w:t>
      </w:r>
    </w:p>
    <w:p w14:paraId="511719BA" w14:textId="77777777" w:rsidR="5F741ABA" w:rsidRPr="008D7F27" w:rsidRDefault="5F741ABA" w:rsidP="00537988">
      <w:pPr>
        <w:rPr>
          <w:lang w:val="es-ES"/>
        </w:rPr>
      </w:pPr>
      <w:r w:rsidRPr="008D7F27">
        <w:rPr>
          <w:lang w:val="es-ES"/>
        </w:rPr>
        <w:t>Posteriormente, se constr</w:t>
      </w:r>
      <w:r w:rsidR="2A49F02E" w:rsidRPr="008D7F27">
        <w:rPr>
          <w:lang w:val="es-ES"/>
        </w:rPr>
        <w:t>uye</w:t>
      </w:r>
      <w:r w:rsidRPr="008D7F27">
        <w:rPr>
          <w:lang w:val="es-ES"/>
        </w:rPr>
        <w:t xml:space="preserve"> un listado preliminar de los minerales clasificados como estratégicos, críticos o críticos/estratégicos en los países </w:t>
      </w:r>
      <w:r w:rsidR="003A2623" w:rsidRPr="008D7F27">
        <w:rPr>
          <w:lang w:val="es-ES"/>
        </w:rPr>
        <w:t>analizados</w:t>
      </w:r>
      <w:r w:rsidRPr="008D7F27">
        <w:rPr>
          <w:lang w:val="es-ES"/>
        </w:rPr>
        <w:t>. A partir del conjunto total de minerales identificados a nivel internacional, se realiz</w:t>
      </w:r>
      <w:r w:rsidR="39927EBA" w:rsidRPr="008D7F27">
        <w:rPr>
          <w:lang w:val="es-ES"/>
        </w:rPr>
        <w:t>a</w:t>
      </w:r>
      <w:r w:rsidRPr="008D7F27">
        <w:rPr>
          <w:lang w:val="es-ES"/>
        </w:rPr>
        <w:t xml:space="preserve"> </w:t>
      </w:r>
      <w:r w:rsidR="003A2623" w:rsidRPr="008D7F27">
        <w:rPr>
          <w:lang w:val="es-ES"/>
        </w:rPr>
        <w:t>la agrupación para algunos de estos minerales que pertenecen a</w:t>
      </w:r>
      <w:r w:rsidRPr="008D7F27">
        <w:rPr>
          <w:lang w:val="es-ES"/>
        </w:rPr>
        <w:t>: i) Metales del Grupo del Platino (PGM)</w:t>
      </w:r>
      <w:r w:rsidR="00FD362A" w:rsidRPr="008D7F27">
        <w:rPr>
          <w:rStyle w:val="Refdenotaalpie"/>
          <w:lang w:val="es-ES"/>
        </w:rPr>
        <w:footnoteReference w:id="1"/>
      </w:r>
      <w:r w:rsidRPr="008D7F27">
        <w:rPr>
          <w:lang w:val="es-ES"/>
        </w:rPr>
        <w:t>, ii) Elementos de Tierras Raras (REE)</w:t>
      </w:r>
      <w:r w:rsidR="00FD362A" w:rsidRPr="008D7F27">
        <w:rPr>
          <w:rStyle w:val="Refdenotaalpie"/>
          <w:lang w:val="es-ES"/>
        </w:rPr>
        <w:footnoteReference w:id="2"/>
      </w:r>
      <w:r w:rsidRPr="008D7F27">
        <w:rPr>
          <w:lang w:val="es-ES"/>
        </w:rPr>
        <w:t xml:space="preserve"> y iii) Materiales de Construcción</w:t>
      </w:r>
      <w:r w:rsidR="00FD362A" w:rsidRPr="008D7F27">
        <w:rPr>
          <w:rStyle w:val="Refdenotaalpie"/>
          <w:lang w:val="es-ES"/>
        </w:rPr>
        <w:footnoteReference w:id="3"/>
      </w:r>
      <w:r w:rsidRPr="008D7F27">
        <w:rPr>
          <w:lang w:val="es-ES"/>
        </w:rPr>
        <w:t xml:space="preserve">. Como resultado de este proceso de clasificación y agrupación, se obtuvo </w:t>
      </w:r>
      <w:r w:rsidR="006041B2" w:rsidRPr="008D7F27">
        <w:rPr>
          <w:lang w:val="es-ES"/>
        </w:rPr>
        <w:t xml:space="preserve">el siguiente </w:t>
      </w:r>
      <w:r w:rsidRPr="008D7F27">
        <w:rPr>
          <w:lang w:val="es-ES"/>
        </w:rPr>
        <w:t xml:space="preserve">listado preliminar de </w:t>
      </w:r>
      <w:r w:rsidR="30E0D268" w:rsidRPr="008D7F27">
        <w:rPr>
          <w:lang w:val="es-ES"/>
        </w:rPr>
        <w:t>5</w:t>
      </w:r>
      <w:r w:rsidR="0082735F" w:rsidRPr="008D7F27">
        <w:rPr>
          <w:lang w:val="es-ES"/>
        </w:rPr>
        <w:t>8</w:t>
      </w:r>
      <w:r w:rsidR="30E0D268" w:rsidRPr="008D7F27">
        <w:rPr>
          <w:lang w:val="es-ES"/>
        </w:rPr>
        <w:t xml:space="preserve"> </w:t>
      </w:r>
      <w:r w:rsidRPr="008D7F27">
        <w:rPr>
          <w:lang w:val="es-ES"/>
        </w:rPr>
        <w:t>minerales</w:t>
      </w:r>
      <w:r w:rsidR="00D7C71E" w:rsidRPr="008D7F27">
        <w:rPr>
          <w:lang w:val="es-ES"/>
        </w:rPr>
        <w:t>:</w:t>
      </w:r>
    </w:p>
    <w:p w14:paraId="0FBE4925" w14:textId="2FB2757F" w:rsidR="00526CD3" w:rsidRPr="00165486" w:rsidRDefault="00165486" w:rsidP="00165486">
      <w:pPr>
        <w:jc w:val="center"/>
        <w:rPr>
          <w:i/>
          <w:iCs/>
          <w:lang w:val="es-ES"/>
        </w:rPr>
      </w:pPr>
      <w:r w:rsidRPr="00165486">
        <w:rPr>
          <w:i/>
          <w:iCs/>
          <w:lang w:val="es-ES"/>
        </w:rPr>
        <w:lastRenderedPageBreak/>
        <w:t xml:space="preserve">Tabla </w:t>
      </w:r>
      <w:r w:rsidRPr="00165486">
        <w:rPr>
          <w:i/>
          <w:iCs/>
          <w:lang w:val="es-ES"/>
        </w:rPr>
        <w:fldChar w:fldCharType="begin"/>
      </w:r>
      <w:r w:rsidRPr="00165486">
        <w:rPr>
          <w:i/>
          <w:iCs/>
          <w:lang w:val="es-ES"/>
        </w:rPr>
        <w:instrText xml:space="preserve"> SEQ Tabla \* ARABIC </w:instrText>
      </w:r>
      <w:r w:rsidRPr="00165486">
        <w:rPr>
          <w:i/>
          <w:iCs/>
          <w:lang w:val="es-ES"/>
        </w:rPr>
        <w:fldChar w:fldCharType="separate"/>
      </w:r>
      <w:r w:rsidRPr="00165486">
        <w:rPr>
          <w:i/>
          <w:iCs/>
          <w:noProof/>
          <w:lang w:val="es-ES"/>
        </w:rPr>
        <w:t>1</w:t>
      </w:r>
      <w:r w:rsidRPr="00165486">
        <w:rPr>
          <w:i/>
          <w:iCs/>
          <w:lang w:val="es-ES"/>
        </w:rPr>
        <w:fldChar w:fldCharType="end"/>
      </w:r>
      <w:r w:rsidRPr="00165486">
        <w:rPr>
          <w:i/>
          <w:iCs/>
          <w:lang w:val="es-ES"/>
        </w:rPr>
        <w:t xml:space="preserve"> Listado preliminar del análisis de contexto internacional</w:t>
      </w:r>
      <w:r w:rsidR="0082735F" w:rsidRPr="00165486">
        <w:rPr>
          <w:i/>
          <w:iCs/>
          <w:lang w:val="es-ES"/>
        </w:rPr>
        <w:t>.</w:t>
      </w:r>
    </w:p>
    <w:tbl>
      <w:tblPr>
        <w:tblW w:w="0" w:type="auto"/>
        <w:jc w:val="center"/>
        <w:tblCellMar>
          <w:left w:w="70" w:type="dxa"/>
          <w:right w:w="70" w:type="dxa"/>
        </w:tblCellMar>
        <w:tblLook w:val="04A0" w:firstRow="1" w:lastRow="0" w:firstColumn="1" w:lastColumn="0" w:noHBand="0" w:noVBand="1"/>
      </w:tblPr>
      <w:tblGrid>
        <w:gridCol w:w="557"/>
        <w:gridCol w:w="3017"/>
        <w:gridCol w:w="557"/>
        <w:gridCol w:w="4032"/>
      </w:tblGrid>
      <w:tr w:rsidR="00165486" w:rsidRPr="008D7F27" w14:paraId="67966864" w14:textId="77777777">
        <w:trPr>
          <w:trHeight w:val="261"/>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0431CCA" w14:textId="77777777" w:rsidR="00165486" w:rsidRPr="008D7F27" w:rsidRDefault="00165486">
            <w:pPr>
              <w:rPr>
                <w:b/>
                <w:bCs/>
                <w:lang w:val="es-ES" w:eastAsia="es-CO"/>
              </w:rPr>
            </w:pPr>
            <w:r w:rsidRPr="008D7F27">
              <w:rPr>
                <w:b/>
                <w:bCs/>
                <w:lang w:val="es-ES" w:eastAsia="es-CO"/>
              </w:rPr>
              <w:t>No.</w:t>
            </w:r>
          </w:p>
        </w:tc>
        <w:tc>
          <w:tcPr>
            <w:tcW w:w="0" w:type="auto"/>
            <w:tcBorders>
              <w:top w:val="single" w:sz="4" w:space="0" w:color="auto"/>
              <w:left w:val="nil"/>
              <w:bottom w:val="single" w:sz="4" w:space="0" w:color="auto"/>
              <w:right w:val="single" w:sz="4" w:space="0" w:color="auto"/>
            </w:tcBorders>
            <w:noWrap/>
            <w:vAlign w:val="bottom"/>
            <w:hideMark/>
          </w:tcPr>
          <w:p w14:paraId="79B41ABD" w14:textId="77777777" w:rsidR="00165486" w:rsidRPr="008D7F27" w:rsidRDefault="00165486">
            <w:pPr>
              <w:rPr>
                <w:b/>
                <w:bCs/>
                <w:lang w:val="es-ES" w:eastAsia="es-CO"/>
              </w:rPr>
            </w:pPr>
            <w:r w:rsidRPr="008D7F27">
              <w:rPr>
                <w:b/>
                <w:bCs/>
                <w:lang w:val="es-ES" w:eastAsia="es-CO"/>
              </w:rPr>
              <w:t>Mineral</w:t>
            </w:r>
          </w:p>
        </w:tc>
        <w:tc>
          <w:tcPr>
            <w:tcW w:w="0" w:type="auto"/>
            <w:tcBorders>
              <w:top w:val="single" w:sz="4" w:space="0" w:color="auto"/>
              <w:left w:val="nil"/>
              <w:bottom w:val="single" w:sz="4" w:space="0" w:color="auto"/>
              <w:right w:val="single" w:sz="4" w:space="0" w:color="auto"/>
            </w:tcBorders>
            <w:vAlign w:val="bottom"/>
          </w:tcPr>
          <w:p w14:paraId="0D72CF0E" w14:textId="77777777" w:rsidR="00165486" w:rsidRPr="008D7F27" w:rsidRDefault="00165486">
            <w:pPr>
              <w:rPr>
                <w:b/>
                <w:bCs/>
                <w:lang w:val="es-ES" w:eastAsia="es-CO"/>
              </w:rPr>
            </w:pPr>
            <w:r w:rsidRPr="008D7F27">
              <w:rPr>
                <w:b/>
                <w:bCs/>
                <w:lang w:val="es-ES" w:eastAsia="es-CO"/>
              </w:rPr>
              <w:t>No.</w:t>
            </w:r>
          </w:p>
        </w:tc>
        <w:tc>
          <w:tcPr>
            <w:tcW w:w="0" w:type="auto"/>
            <w:tcBorders>
              <w:top w:val="single" w:sz="4" w:space="0" w:color="auto"/>
              <w:left w:val="nil"/>
              <w:bottom w:val="single" w:sz="4" w:space="0" w:color="auto"/>
              <w:right w:val="single" w:sz="4" w:space="0" w:color="auto"/>
            </w:tcBorders>
            <w:vAlign w:val="bottom"/>
          </w:tcPr>
          <w:p w14:paraId="087E1273" w14:textId="77777777" w:rsidR="00165486" w:rsidRPr="008D7F27" w:rsidRDefault="00165486">
            <w:pPr>
              <w:rPr>
                <w:b/>
                <w:bCs/>
                <w:lang w:val="es-ES" w:eastAsia="es-CO"/>
              </w:rPr>
            </w:pPr>
            <w:r w:rsidRPr="008D7F27">
              <w:rPr>
                <w:b/>
                <w:bCs/>
                <w:lang w:val="es-ES" w:eastAsia="es-CO"/>
              </w:rPr>
              <w:t>Mineral</w:t>
            </w:r>
          </w:p>
        </w:tc>
      </w:tr>
      <w:tr w:rsidR="00165486" w:rsidRPr="008D7F27" w14:paraId="0E03243C"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102FC163" w14:textId="77777777" w:rsidR="00165486" w:rsidRPr="008D7F27" w:rsidRDefault="00165486">
            <w:pPr>
              <w:rPr>
                <w:lang w:val="es-ES" w:eastAsia="es-CO"/>
              </w:rPr>
            </w:pPr>
            <w:r w:rsidRPr="008D7F27">
              <w:rPr>
                <w:lang w:val="es-ES" w:eastAsia="es-CO"/>
              </w:rPr>
              <w:t>1</w:t>
            </w:r>
          </w:p>
        </w:tc>
        <w:tc>
          <w:tcPr>
            <w:tcW w:w="0" w:type="auto"/>
            <w:tcBorders>
              <w:top w:val="nil"/>
              <w:left w:val="nil"/>
              <w:bottom w:val="single" w:sz="4" w:space="0" w:color="auto"/>
              <w:right w:val="single" w:sz="4" w:space="0" w:color="auto"/>
            </w:tcBorders>
            <w:noWrap/>
            <w:hideMark/>
          </w:tcPr>
          <w:p w14:paraId="131AAC83" w14:textId="77777777" w:rsidR="00165486" w:rsidRPr="008D7F27" w:rsidRDefault="00165486">
            <w:pPr>
              <w:rPr>
                <w:lang w:val="es-ES" w:eastAsia="es-CO"/>
              </w:rPr>
            </w:pPr>
            <w:r w:rsidRPr="008D7F27">
              <w:rPr>
                <w:rStyle w:val="normaltextrun"/>
                <w:lang w:val="es-ES"/>
              </w:rPr>
              <w:t>Aluminio (Bauxita)</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0158E440" w14:textId="77777777" w:rsidR="00165486" w:rsidRPr="008D7F27" w:rsidRDefault="00165486">
            <w:pPr>
              <w:rPr>
                <w:rStyle w:val="normaltextrun"/>
                <w:lang w:val="es-ES"/>
              </w:rPr>
            </w:pPr>
            <w:r w:rsidRPr="008D7F27">
              <w:rPr>
                <w:lang w:val="es-ES" w:eastAsia="es-CO"/>
              </w:rPr>
              <w:t>30</w:t>
            </w:r>
          </w:p>
        </w:tc>
        <w:tc>
          <w:tcPr>
            <w:tcW w:w="0" w:type="auto"/>
            <w:tcBorders>
              <w:top w:val="nil"/>
              <w:left w:val="nil"/>
              <w:bottom w:val="single" w:sz="4" w:space="0" w:color="auto"/>
              <w:right w:val="single" w:sz="4" w:space="0" w:color="auto"/>
            </w:tcBorders>
          </w:tcPr>
          <w:p w14:paraId="4A3929BD" w14:textId="77777777" w:rsidR="00165486" w:rsidRPr="008D7F27" w:rsidRDefault="00165486">
            <w:pPr>
              <w:rPr>
                <w:rStyle w:val="normaltextrun"/>
                <w:lang w:val="es-ES"/>
              </w:rPr>
            </w:pPr>
            <w:r w:rsidRPr="008D7F27">
              <w:rPr>
                <w:rStyle w:val="normaltextrun"/>
                <w:lang w:val="es-ES"/>
              </w:rPr>
              <w:t>Magnesio</w:t>
            </w:r>
            <w:r w:rsidRPr="008D7F27">
              <w:rPr>
                <w:rStyle w:val="eop"/>
                <w:lang w:val="es-ES"/>
              </w:rPr>
              <w:t> </w:t>
            </w:r>
          </w:p>
        </w:tc>
      </w:tr>
      <w:tr w:rsidR="00165486" w:rsidRPr="008D7F27" w14:paraId="260B3693"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2991D84E" w14:textId="77777777" w:rsidR="00165486" w:rsidRPr="008D7F27" w:rsidRDefault="00165486">
            <w:pPr>
              <w:rPr>
                <w:lang w:val="es-ES" w:eastAsia="es-CO"/>
              </w:rPr>
            </w:pPr>
            <w:r w:rsidRPr="008D7F27">
              <w:rPr>
                <w:lang w:val="es-ES" w:eastAsia="es-CO"/>
              </w:rPr>
              <w:t>2</w:t>
            </w:r>
          </w:p>
        </w:tc>
        <w:tc>
          <w:tcPr>
            <w:tcW w:w="0" w:type="auto"/>
            <w:tcBorders>
              <w:top w:val="nil"/>
              <w:left w:val="nil"/>
              <w:bottom w:val="single" w:sz="4" w:space="0" w:color="auto"/>
              <w:right w:val="single" w:sz="4" w:space="0" w:color="auto"/>
            </w:tcBorders>
            <w:noWrap/>
            <w:hideMark/>
          </w:tcPr>
          <w:p w14:paraId="5B23FF40" w14:textId="77777777" w:rsidR="00165486" w:rsidRPr="008D7F27" w:rsidRDefault="00165486">
            <w:pPr>
              <w:rPr>
                <w:lang w:val="es-ES" w:eastAsia="es-CO"/>
              </w:rPr>
            </w:pPr>
            <w:r w:rsidRPr="008D7F27">
              <w:rPr>
                <w:rStyle w:val="normaltextrun"/>
                <w:lang w:val="es-ES"/>
              </w:rPr>
              <w:t>Antimonio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0F042F11" w14:textId="77777777" w:rsidR="00165486" w:rsidRPr="008D7F27" w:rsidRDefault="00165486">
            <w:pPr>
              <w:rPr>
                <w:rStyle w:val="normaltextrun"/>
                <w:lang w:val="es-ES"/>
              </w:rPr>
            </w:pPr>
            <w:r w:rsidRPr="008D7F27">
              <w:rPr>
                <w:lang w:val="es-ES" w:eastAsia="es-CO"/>
              </w:rPr>
              <w:t>31</w:t>
            </w:r>
          </w:p>
        </w:tc>
        <w:tc>
          <w:tcPr>
            <w:tcW w:w="0" w:type="auto"/>
            <w:tcBorders>
              <w:top w:val="nil"/>
              <w:left w:val="nil"/>
              <w:bottom w:val="single" w:sz="4" w:space="0" w:color="auto"/>
              <w:right w:val="single" w:sz="4" w:space="0" w:color="auto"/>
            </w:tcBorders>
          </w:tcPr>
          <w:p w14:paraId="2E8E5979" w14:textId="77777777" w:rsidR="00165486" w:rsidRPr="008D7F27" w:rsidRDefault="00165486">
            <w:pPr>
              <w:rPr>
                <w:rStyle w:val="normaltextrun"/>
                <w:lang w:val="es-ES"/>
              </w:rPr>
            </w:pPr>
            <w:r w:rsidRPr="008D7F27">
              <w:rPr>
                <w:rStyle w:val="normaltextrun"/>
                <w:lang w:val="es-ES"/>
              </w:rPr>
              <w:t>Manganeso</w:t>
            </w:r>
            <w:r w:rsidRPr="008D7F27">
              <w:rPr>
                <w:rStyle w:val="eop"/>
                <w:lang w:val="es-ES"/>
              </w:rPr>
              <w:t> </w:t>
            </w:r>
          </w:p>
        </w:tc>
      </w:tr>
      <w:tr w:rsidR="00165486" w:rsidRPr="008D7F27" w14:paraId="2004189D"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1739610C" w14:textId="77777777" w:rsidR="00165486" w:rsidRPr="008D7F27" w:rsidRDefault="00165486">
            <w:pPr>
              <w:rPr>
                <w:lang w:val="es-ES" w:eastAsia="es-CO"/>
              </w:rPr>
            </w:pPr>
            <w:r w:rsidRPr="008D7F27">
              <w:rPr>
                <w:lang w:val="es-ES" w:eastAsia="es-CO"/>
              </w:rPr>
              <w:t>3</w:t>
            </w:r>
          </w:p>
        </w:tc>
        <w:tc>
          <w:tcPr>
            <w:tcW w:w="0" w:type="auto"/>
            <w:tcBorders>
              <w:top w:val="nil"/>
              <w:left w:val="nil"/>
              <w:bottom w:val="single" w:sz="4" w:space="0" w:color="auto"/>
              <w:right w:val="single" w:sz="4" w:space="0" w:color="auto"/>
            </w:tcBorders>
            <w:noWrap/>
            <w:hideMark/>
          </w:tcPr>
          <w:p w14:paraId="0F4CD351" w14:textId="77777777" w:rsidR="00165486" w:rsidRPr="008D7F27" w:rsidRDefault="00165486">
            <w:pPr>
              <w:rPr>
                <w:lang w:val="es-ES" w:eastAsia="es-CO"/>
              </w:rPr>
            </w:pPr>
            <w:r w:rsidRPr="008D7F27">
              <w:rPr>
                <w:rStyle w:val="normaltextrun"/>
                <w:lang w:val="es-ES"/>
              </w:rPr>
              <w:t>Arsénico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1153889F" w14:textId="77777777" w:rsidR="00165486" w:rsidRPr="008D7F27" w:rsidRDefault="00165486">
            <w:pPr>
              <w:rPr>
                <w:rStyle w:val="normaltextrun"/>
                <w:lang w:val="es-ES"/>
              </w:rPr>
            </w:pPr>
            <w:r w:rsidRPr="008D7F27">
              <w:rPr>
                <w:lang w:val="es-ES" w:eastAsia="es-CO"/>
              </w:rPr>
              <w:t>32</w:t>
            </w:r>
          </w:p>
        </w:tc>
        <w:tc>
          <w:tcPr>
            <w:tcW w:w="0" w:type="auto"/>
            <w:tcBorders>
              <w:top w:val="nil"/>
              <w:left w:val="nil"/>
              <w:bottom w:val="single" w:sz="4" w:space="0" w:color="auto"/>
              <w:right w:val="single" w:sz="4" w:space="0" w:color="auto"/>
            </w:tcBorders>
          </w:tcPr>
          <w:p w14:paraId="4CACE619" w14:textId="77777777" w:rsidR="00165486" w:rsidRPr="008D7F27" w:rsidRDefault="00165486">
            <w:pPr>
              <w:rPr>
                <w:rStyle w:val="normaltextrun"/>
                <w:lang w:val="es-ES"/>
              </w:rPr>
            </w:pPr>
            <w:r w:rsidRPr="008D7F27">
              <w:rPr>
                <w:rStyle w:val="normaltextrun"/>
                <w:lang w:val="es-ES"/>
              </w:rPr>
              <w:t>Materiales de construcción</w:t>
            </w:r>
            <w:r w:rsidRPr="008D7F27">
              <w:rPr>
                <w:rStyle w:val="eop"/>
                <w:lang w:val="es-ES"/>
              </w:rPr>
              <w:t> </w:t>
            </w:r>
          </w:p>
        </w:tc>
      </w:tr>
      <w:tr w:rsidR="00165486" w:rsidRPr="008D7F27" w14:paraId="69E5625B"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5830F61B" w14:textId="77777777" w:rsidR="00165486" w:rsidRPr="008D7F27" w:rsidRDefault="00165486">
            <w:pPr>
              <w:rPr>
                <w:lang w:val="es-ES" w:eastAsia="es-CO"/>
              </w:rPr>
            </w:pPr>
            <w:r w:rsidRPr="008D7F27">
              <w:rPr>
                <w:lang w:val="es-ES" w:eastAsia="es-CO"/>
              </w:rPr>
              <w:t>4</w:t>
            </w:r>
          </w:p>
        </w:tc>
        <w:tc>
          <w:tcPr>
            <w:tcW w:w="0" w:type="auto"/>
            <w:tcBorders>
              <w:top w:val="nil"/>
              <w:left w:val="nil"/>
              <w:bottom w:val="single" w:sz="4" w:space="0" w:color="auto"/>
              <w:right w:val="single" w:sz="4" w:space="0" w:color="auto"/>
            </w:tcBorders>
            <w:noWrap/>
            <w:hideMark/>
          </w:tcPr>
          <w:p w14:paraId="695E570D" w14:textId="77777777" w:rsidR="00165486" w:rsidRPr="008D7F27" w:rsidRDefault="00165486">
            <w:pPr>
              <w:rPr>
                <w:lang w:val="es-ES" w:eastAsia="es-CO"/>
              </w:rPr>
            </w:pPr>
            <w:r w:rsidRPr="008D7F27">
              <w:rPr>
                <w:rStyle w:val="normaltextrun"/>
                <w:lang w:val="es-ES"/>
              </w:rPr>
              <w:t>Barita (o Bario)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633E877B" w14:textId="77777777" w:rsidR="00165486" w:rsidRPr="008D7F27" w:rsidRDefault="00165486">
            <w:pPr>
              <w:rPr>
                <w:rStyle w:val="normaltextrun"/>
                <w:lang w:val="es-ES"/>
              </w:rPr>
            </w:pPr>
            <w:r w:rsidRPr="008D7F27">
              <w:rPr>
                <w:lang w:val="es-ES" w:eastAsia="es-CO"/>
              </w:rPr>
              <w:t>33</w:t>
            </w:r>
          </w:p>
        </w:tc>
        <w:tc>
          <w:tcPr>
            <w:tcW w:w="0" w:type="auto"/>
            <w:tcBorders>
              <w:top w:val="nil"/>
              <w:left w:val="nil"/>
              <w:bottom w:val="single" w:sz="4" w:space="0" w:color="auto"/>
              <w:right w:val="single" w:sz="4" w:space="0" w:color="auto"/>
            </w:tcBorders>
          </w:tcPr>
          <w:p w14:paraId="70E059E4" w14:textId="77777777" w:rsidR="00165486" w:rsidRPr="008D7F27" w:rsidRDefault="00165486">
            <w:pPr>
              <w:rPr>
                <w:rStyle w:val="normaltextrun"/>
                <w:lang w:val="es-ES"/>
              </w:rPr>
            </w:pPr>
            <w:r w:rsidRPr="008D7F27">
              <w:rPr>
                <w:rStyle w:val="normaltextrun"/>
                <w:lang w:val="es-ES"/>
              </w:rPr>
              <w:t>Mercurio</w:t>
            </w:r>
            <w:r w:rsidRPr="008D7F27">
              <w:rPr>
                <w:rStyle w:val="eop"/>
                <w:lang w:val="es-ES"/>
              </w:rPr>
              <w:t> </w:t>
            </w:r>
          </w:p>
        </w:tc>
      </w:tr>
      <w:tr w:rsidR="00165486" w:rsidRPr="008D7F27" w14:paraId="06BAB4D5"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1FFB37DE" w14:textId="77777777" w:rsidR="00165486" w:rsidRPr="008D7F27" w:rsidRDefault="00165486">
            <w:pPr>
              <w:rPr>
                <w:lang w:val="es-ES" w:eastAsia="es-CO"/>
              </w:rPr>
            </w:pPr>
            <w:r w:rsidRPr="008D7F27">
              <w:rPr>
                <w:lang w:val="es-ES" w:eastAsia="es-CO"/>
              </w:rPr>
              <w:t>5</w:t>
            </w:r>
          </w:p>
        </w:tc>
        <w:tc>
          <w:tcPr>
            <w:tcW w:w="0" w:type="auto"/>
            <w:tcBorders>
              <w:top w:val="nil"/>
              <w:left w:val="nil"/>
              <w:bottom w:val="single" w:sz="4" w:space="0" w:color="auto"/>
              <w:right w:val="single" w:sz="4" w:space="0" w:color="auto"/>
            </w:tcBorders>
            <w:noWrap/>
            <w:hideMark/>
          </w:tcPr>
          <w:p w14:paraId="039B0E54" w14:textId="77777777" w:rsidR="00165486" w:rsidRPr="008D7F27" w:rsidRDefault="00165486">
            <w:pPr>
              <w:rPr>
                <w:lang w:val="es-ES" w:eastAsia="es-CO"/>
              </w:rPr>
            </w:pPr>
            <w:r w:rsidRPr="008D7F27">
              <w:rPr>
                <w:rStyle w:val="normaltextrun"/>
                <w:lang w:val="es-ES"/>
              </w:rPr>
              <w:t>Berilio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6E815559" w14:textId="77777777" w:rsidR="00165486" w:rsidRPr="008D7F27" w:rsidRDefault="00165486">
            <w:pPr>
              <w:rPr>
                <w:rStyle w:val="normaltextrun"/>
                <w:lang w:val="es-ES"/>
              </w:rPr>
            </w:pPr>
            <w:r w:rsidRPr="008D7F27">
              <w:rPr>
                <w:lang w:val="es-ES" w:eastAsia="es-CO"/>
              </w:rPr>
              <w:t>34</w:t>
            </w:r>
          </w:p>
        </w:tc>
        <w:tc>
          <w:tcPr>
            <w:tcW w:w="0" w:type="auto"/>
            <w:tcBorders>
              <w:top w:val="nil"/>
              <w:left w:val="nil"/>
              <w:bottom w:val="single" w:sz="4" w:space="0" w:color="auto"/>
              <w:right w:val="single" w:sz="4" w:space="0" w:color="auto"/>
            </w:tcBorders>
          </w:tcPr>
          <w:p w14:paraId="72B4374F" w14:textId="77777777" w:rsidR="00165486" w:rsidRPr="008D7F27" w:rsidRDefault="00165486">
            <w:pPr>
              <w:rPr>
                <w:rStyle w:val="normaltextrun"/>
                <w:lang w:val="es-ES"/>
              </w:rPr>
            </w:pPr>
            <w:r w:rsidRPr="008D7F27">
              <w:rPr>
                <w:rStyle w:val="normaltextrun"/>
                <w:lang w:val="es-ES"/>
              </w:rPr>
              <w:t>Metales del grupo del platino</w:t>
            </w:r>
            <w:r w:rsidRPr="008D7F27">
              <w:rPr>
                <w:rStyle w:val="eop"/>
                <w:lang w:val="es-ES"/>
              </w:rPr>
              <w:t> </w:t>
            </w:r>
          </w:p>
        </w:tc>
      </w:tr>
      <w:tr w:rsidR="00165486" w:rsidRPr="008D7F27" w14:paraId="681B5B87"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43B80ED8" w14:textId="77777777" w:rsidR="00165486" w:rsidRPr="008D7F27" w:rsidRDefault="00165486">
            <w:pPr>
              <w:rPr>
                <w:lang w:val="es-ES" w:eastAsia="es-CO"/>
              </w:rPr>
            </w:pPr>
            <w:r w:rsidRPr="008D7F27">
              <w:rPr>
                <w:lang w:val="es-ES" w:eastAsia="es-CO"/>
              </w:rPr>
              <w:t>6</w:t>
            </w:r>
          </w:p>
        </w:tc>
        <w:tc>
          <w:tcPr>
            <w:tcW w:w="0" w:type="auto"/>
            <w:tcBorders>
              <w:top w:val="nil"/>
              <w:left w:val="nil"/>
              <w:bottom w:val="single" w:sz="4" w:space="0" w:color="auto"/>
              <w:right w:val="single" w:sz="4" w:space="0" w:color="auto"/>
            </w:tcBorders>
            <w:noWrap/>
            <w:hideMark/>
          </w:tcPr>
          <w:p w14:paraId="071E488B" w14:textId="77777777" w:rsidR="00165486" w:rsidRPr="008D7F27" w:rsidRDefault="00165486">
            <w:pPr>
              <w:rPr>
                <w:lang w:val="es-ES" w:eastAsia="es-CO"/>
              </w:rPr>
            </w:pPr>
            <w:r w:rsidRPr="008D7F27">
              <w:rPr>
                <w:rStyle w:val="normaltextrun"/>
                <w:lang w:val="es-ES"/>
              </w:rPr>
              <w:t>Bentonita</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FD1A855" w14:textId="77777777" w:rsidR="00165486" w:rsidRPr="008D7F27" w:rsidRDefault="00165486">
            <w:pPr>
              <w:rPr>
                <w:rStyle w:val="normaltextrun"/>
                <w:lang w:val="es-ES"/>
              </w:rPr>
            </w:pPr>
            <w:r w:rsidRPr="008D7F27">
              <w:rPr>
                <w:lang w:val="es-ES" w:eastAsia="es-CO"/>
              </w:rPr>
              <w:t>35</w:t>
            </w:r>
          </w:p>
        </w:tc>
        <w:tc>
          <w:tcPr>
            <w:tcW w:w="0" w:type="auto"/>
            <w:tcBorders>
              <w:top w:val="nil"/>
              <w:left w:val="nil"/>
              <w:bottom w:val="single" w:sz="4" w:space="0" w:color="auto"/>
              <w:right w:val="single" w:sz="4" w:space="0" w:color="auto"/>
            </w:tcBorders>
          </w:tcPr>
          <w:p w14:paraId="19338253" w14:textId="77777777" w:rsidR="00165486" w:rsidRPr="008D7F27" w:rsidRDefault="00165486">
            <w:pPr>
              <w:rPr>
                <w:rStyle w:val="normaltextrun"/>
                <w:lang w:val="es-ES"/>
              </w:rPr>
            </w:pPr>
            <w:r w:rsidRPr="008D7F27">
              <w:rPr>
                <w:rStyle w:val="normaltextrun"/>
                <w:lang w:val="es-ES"/>
              </w:rPr>
              <w:t>Molibdeno</w:t>
            </w:r>
            <w:r w:rsidRPr="008D7F27">
              <w:rPr>
                <w:rStyle w:val="eop"/>
                <w:lang w:val="es-ES"/>
              </w:rPr>
              <w:t> </w:t>
            </w:r>
          </w:p>
        </w:tc>
      </w:tr>
      <w:tr w:rsidR="00165486" w:rsidRPr="008D7F27" w14:paraId="5EF8F790"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7C933EC7" w14:textId="77777777" w:rsidR="00165486" w:rsidRPr="008D7F27" w:rsidRDefault="00165486">
            <w:pPr>
              <w:rPr>
                <w:lang w:val="es-ES" w:eastAsia="es-CO"/>
              </w:rPr>
            </w:pPr>
            <w:r w:rsidRPr="008D7F27">
              <w:rPr>
                <w:lang w:val="es-ES" w:eastAsia="es-CO"/>
              </w:rPr>
              <w:t>7</w:t>
            </w:r>
          </w:p>
        </w:tc>
        <w:tc>
          <w:tcPr>
            <w:tcW w:w="0" w:type="auto"/>
            <w:tcBorders>
              <w:top w:val="nil"/>
              <w:left w:val="nil"/>
              <w:bottom w:val="single" w:sz="4" w:space="0" w:color="auto"/>
              <w:right w:val="single" w:sz="4" w:space="0" w:color="auto"/>
            </w:tcBorders>
            <w:noWrap/>
            <w:hideMark/>
          </w:tcPr>
          <w:p w14:paraId="37DC5859" w14:textId="77777777" w:rsidR="00165486" w:rsidRPr="008D7F27" w:rsidRDefault="00165486">
            <w:pPr>
              <w:rPr>
                <w:lang w:val="es-ES" w:eastAsia="es-CO"/>
              </w:rPr>
            </w:pPr>
            <w:r w:rsidRPr="008D7F27">
              <w:rPr>
                <w:rStyle w:val="normaltextrun"/>
                <w:lang w:val="es-ES"/>
              </w:rPr>
              <w:t>Bismuto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1B361225" w14:textId="77777777" w:rsidR="00165486" w:rsidRPr="008D7F27" w:rsidRDefault="00165486">
            <w:pPr>
              <w:rPr>
                <w:rStyle w:val="normaltextrun"/>
                <w:lang w:val="es-ES"/>
              </w:rPr>
            </w:pPr>
            <w:r w:rsidRPr="008D7F27">
              <w:rPr>
                <w:lang w:val="es-ES" w:eastAsia="es-CO"/>
              </w:rPr>
              <w:t>36</w:t>
            </w:r>
          </w:p>
        </w:tc>
        <w:tc>
          <w:tcPr>
            <w:tcW w:w="0" w:type="auto"/>
            <w:tcBorders>
              <w:top w:val="nil"/>
              <w:left w:val="nil"/>
              <w:bottom w:val="single" w:sz="4" w:space="0" w:color="auto"/>
              <w:right w:val="single" w:sz="4" w:space="0" w:color="auto"/>
            </w:tcBorders>
          </w:tcPr>
          <w:p w14:paraId="0462D7AF" w14:textId="77777777" w:rsidR="00165486" w:rsidRPr="008D7F27" w:rsidRDefault="00165486">
            <w:pPr>
              <w:rPr>
                <w:rStyle w:val="normaltextrun"/>
                <w:lang w:val="es-ES"/>
              </w:rPr>
            </w:pPr>
            <w:r w:rsidRPr="008D7F27">
              <w:rPr>
                <w:rStyle w:val="normaltextrun"/>
                <w:lang w:val="es-ES"/>
              </w:rPr>
              <w:t>Níquel</w:t>
            </w:r>
            <w:r w:rsidRPr="008D7F27">
              <w:rPr>
                <w:rStyle w:val="eop"/>
                <w:lang w:val="es-ES"/>
              </w:rPr>
              <w:t> </w:t>
            </w:r>
          </w:p>
        </w:tc>
      </w:tr>
      <w:tr w:rsidR="00165486" w:rsidRPr="008D7F27" w14:paraId="39C675A0"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103E48D9" w14:textId="77777777" w:rsidR="00165486" w:rsidRPr="008D7F27" w:rsidRDefault="00165486">
            <w:pPr>
              <w:rPr>
                <w:lang w:val="es-ES" w:eastAsia="es-CO"/>
              </w:rPr>
            </w:pPr>
            <w:r w:rsidRPr="008D7F27">
              <w:rPr>
                <w:lang w:val="es-ES" w:eastAsia="es-CO"/>
              </w:rPr>
              <w:t>8</w:t>
            </w:r>
          </w:p>
        </w:tc>
        <w:tc>
          <w:tcPr>
            <w:tcW w:w="0" w:type="auto"/>
            <w:tcBorders>
              <w:top w:val="nil"/>
              <w:left w:val="nil"/>
              <w:bottom w:val="single" w:sz="4" w:space="0" w:color="auto"/>
              <w:right w:val="single" w:sz="4" w:space="0" w:color="auto"/>
            </w:tcBorders>
            <w:noWrap/>
            <w:hideMark/>
          </w:tcPr>
          <w:p w14:paraId="407D7823" w14:textId="77777777" w:rsidR="00165486" w:rsidRPr="008D7F27" w:rsidRDefault="00165486">
            <w:pPr>
              <w:rPr>
                <w:lang w:val="es-ES" w:eastAsia="es-CO"/>
              </w:rPr>
            </w:pPr>
            <w:r w:rsidRPr="008D7F27">
              <w:rPr>
                <w:rStyle w:val="normaltextrun"/>
                <w:lang w:val="es-ES"/>
              </w:rPr>
              <w:t>Boro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8769F3F" w14:textId="77777777" w:rsidR="00165486" w:rsidRPr="008D7F27" w:rsidRDefault="00165486">
            <w:pPr>
              <w:rPr>
                <w:rStyle w:val="normaltextrun"/>
                <w:lang w:val="es-ES"/>
              </w:rPr>
            </w:pPr>
            <w:r w:rsidRPr="008D7F27">
              <w:rPr>
                <w:lang w:val="es-ES" w:eastAsia="es-CO"/>
              </w:rPr>
              <w:t>37</w:t>
            </w:r>
          </w:p>
        </w:tc>
        <w:tc>
          <w:tcPr>
            <w:tcW w:w="0" w:type="auto"/>
            <w:tcBorders>
              <w:top w:val="nil"/>
              <w:left w:val="nil"/>
              <w:bottom w:val="single" w:sz="4" w:space="0" w:color="auto"/>
              <w:right w:val="single" w:sz="4" w:space="0" w:color="auto"/>
            </w:tcBorders>
          </w:tcPr>
          <w:p w14:paraId="69C80721" w14:textId="77777777" w:rsidR="00165486" w:rsidRPr="008D7F27" w:rsidRDefault="00165486">
            <w:pPr>
              <w:rPr>
                <w:rStyle w:val="normaltextrun"/>
                <w:lang w:val="es-ES"/>
              </w:rPr>
            </w:pPr>
            <w:r w:rsidRPr="008D7F27">
              <w:rPr>
                <w:rStyle w:val="normaltextrun"/>
                <w:lang w:val="es-ES"/>
              </w:rPr>
              <w:t>Niobio</w:t>
            </w:r>
            <w:r w:rsidRPr="008D7F27">
              <w:rPr>
                <w:rStyle w:val="eop"/>
                <w:lang w:val="es-ES"/>
              </w:rPr>
              <w:t> </w:t>
            </w:r>
          </w:p>
        </w:tc>
      </w:tr>
      <w:tr w:rsidR="00165486" w:rsidRPr="008D7F27" w14:paraId="160371D2"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0D9B3F8A" w14:textId="77777777" w:rsidR="00165486" w:rsidRPr="008D7F27" w:rsidRDefault="00165486">
            <w:pPr>
              <w:rPr>
                <w:lang w:val="es-ES" w:eastAsia="es-CO"/>
              </w:rPr>
            </w:pPr>
            <w:r w:rsidRPr="008D7F27">
              <w:rPr>
                <w:lang w:val="es-ES" w:eastAsia="es-CO"/>
              </w:rPr>
              <w:t>9</w:t>
            </w:r>
          </w:p>
        </w:tc>
        <w:tc>
          <w:tcPr>
            <w:tcW w:w="0" w:type="auto"/>
            <w:tcBorders>
              <w:top w:val="nil"/>
              <w:left w:val="nil"/>
              <w:bottom w:val="single" w:sz="4" w:space="0" w:color="auto"/>
              <w:right w:val="single" w:sz="4" w:space="0" w:color="auto"/>
            </w:tcBorders>
            <w:noWrap/>
            <w:hideMark/>
          </w:tcPr>
          <w:p w14:paraId="17E13E64" w14:textId="77777777" w:rsidR="00165486" w:rsidRPr="008D7F27" w:rsidRDefault="00165486">
            <w:pPr>
              <w:rPr>
                <w:lang w:val="es-ES" w:eastAsia="es-CO"/>
              </w:rPr>
            </w:pPr>
            <w:r w:rsidRPr="008D7F27">
              <w:rPr>
                <w:rStyle w:val="normaltextrun"/>
                <w:lang w:val="es-ES"/>
              </w:rPr>
              <w:t>Carbón</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37235114" w14:textId="77777777" w:rsidR="00165486" w:rsidRPr="008D7F27" w:rsidRDefault="00165486">
            <w:pPr>
              <w:rPr>
                <w:rStyle w:val="normaltextrun"/>
                <w:lang w:val="es-ES"/>
              </w:rPr>
            </w:pPr>
            <w:r w:rsidRPr="008D7F27">
              <w:rPr>
                <w:lang w:val="es-ES" w:eastAsia="es-CO"/>
              </w:rPr>
              <w:t>38</w:t>
            </w:r>
          </w:p>
        </w:tc>
        <w:tc>
          <w:tcPr>
            <w:tcW w:w="0" w:type="auto"/>
            <w:tcBorders>
              <w:top w:val="nil"/>
              <w:left w:val="nil"/>
              <w:bottom w:val="single" w:sz="4" w:space="0" w:color="auto"/>
              <w:right w:val="single" w:sz="4" w:space="0" w:color="auto"/>
            </w:tcBorders>
          </w:tcPr>
          <w:p w14:paraId="60EA426E" w14:textId="77777777" w:rsidR="00165486" w:rsidRPr="008D7F27" w:rsidRDefault="00165486">
            <w:pPr>
              <w:rPr>
                <w:rStyle w:val="normaltextrun"/>
                <w:lang w:val="es-ES"/>
              </w:rPr>
            </w:pPr>
            <w:r w:rsidRPr="008D7F27">
              <w:rPr>
                <w:rStyle w:val="normaltextrun"/>
                <w:lang w:val="es-ES"/>
              </w:rPr>
              <w:t>Oro</w:t>
            </w:r>
            <w:r w:rsidRPr="008D7F27">
              <w:rPr>
                <w:rStyle w:val="eop"/>
                <w:lang w:val="es-ES"/>
              </w:rPr>
              <w:t> </w:t>
            </w:r>
          </w:p>
        </w:tc>
      </w:tr>
      <w:tr w:rsidR="00165486" w:rsidRPr="008D7F27" w14:paraId="5CB80950"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1D32426F" w14:textId="77777777" w:rsidR="00165486" w:rsidRPr="008D7F27" w:rsidRDefault="00165486">
            <w:pPr>
              <w:rPr>
                <w:lang w:val="es-ES" w:eastAsia="es-CO"/>
              </w:rPr>
            </w:pPr>
            <w:r w:rsidRPr="008D7F27">
              <w:rPr>
                <w:lang w:val="es-ES" w:eastAsia="es-CO"/>
              </w:rPr>
              <w:t>10</w:t>
            </w:r>
          </w:p>
        </w:tc>
        <w:tc>
          <w:tcPr>
            <w:tcW w:w="0" w:type="auto"/>
            <w:tcBorders>
              <w:top w:val="nil"/>
              <w:left w:val="nil"/>
              <w:bottom w:val="single" w:sz="4" w:space="0" w:color="auto"/>
              <w:right w:val="single" w:sz="4" w:space="0" w:color="auto"/>
            </w:tcBorders>
            <w:noWrap/>
            <w:hideMark/>
          </w:tcPr>
          <w:p w14:paraId="2C2B5832" w14:textId="77777777" w:rsidR="00165486" w:rsidRPr="008D7F27" w:rsidRDefault="00165486">
            <w:pPr>
              <w:rPr>
                <w:lang w:val="es-ES" w:eastAsia="es-CO"/>
              </w:rPr>
            </w:pPr>
            <w:r w:rsidRPr="008D7F27">
              <w:rPr>
                <w:rStyle w:val="normaltextrun"/>
                <w:lang w:val="es-ES"/>
              </w:rPr>
              <w:t>Cadmio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15E32EAA" w14:textId="77777777" w:rsidR="00165486" w:rsidRPr="008D7F27" w:rsidRDefault="00165486">
            <w:pPr>
              <w:rPr>
                <w:rStyle w:val="normaltextrun"/>
                <w:lang w:val="es-ES"/>
              </w:rPr>
            </w:pPr>
            <w:r w:rsidRPr="008D7F27">
              <w:rPr>
                <w:lang w:val="es-ES" w:eastAsia="es-CO"/>
              </w:rPr>
              <w:t>39</w:t>
            </w:r>
          </w:p>
        </w:tc>
        <w:tc>
          <w:tcPr>
            <w:tcW w:w="0" w:type="auto"/>
            <w:tcBorders>
              <w:top w:val="nil"/>
              <w:left w:val="nil"/>
              <w:bottom w:val="single" w:sz="4" w:space="0" w:color="auto"/>
              <w:right w:val="single" w:sz="4" w:space="0" w:color="auto"/>
            </w:tcBorders>
          </w:tcPr>
          <w:p w14:paraId="4781E196" w14:textId="77777777" w:rsidR="00165486" w:rsidRPr="008D7F27" w:rsidRDefault="00165486">
            <w:pPr>
              <w:rPr>
                <w:rStyle w:val="normaltextrun"/>
                <w:lang w:val="es-ES"/>
              </w:rPr>
            </w:pPr>
            <w:r w:rsidRPr="008D7F27">
              <w:rPr>
                <w:rStyle w:val="normaltextrun"/>
                <w:lang w:val="es-ES"/>
              </w:rPr>
              <w:t>Plata</w:t>
            </w:r>
            <w:r w:rsidRPr="008D7F27">
              <w:rPr>
                <w:rStyle w:val="eop"/>
                <w:lang w:val="es-ES"/>
              </w:rPr>
              <w:t> </w:t>
            </w:r>
          </w:p>
        </w:tc>
      </w:tr>
      <w:tr w:rsidR="00165486" w:rsidRPr="008D7F27" w14:paraId="7A8675B4"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1B4A2964" w14:textId="77777777" w:rsidR="00165486" w:rsidRPr="008D7F27" w:rsidRDefault="00165486">
            <w:pPr>
              <w:rPr>
                <w:lang w:val="es-ES" w:eastAsia="es-CO"/>
              </w:rPr>
            </w:pPr>
            <w:r w:rsidRPr="008D7F27">
              <w:rPr>
                <w:lang w:val="es-ES" w:eastAsia="es-CO"/>
              </w:rPr>
              <w:t>11</w:t>
            </w:r>
          </w:p>
        </w:tc>
        <w:tc>
          <w:tcPr>
            <w:tcW w:w="0" w:type="auto"/>
            <w:tcBorders>
              <w:top w:val="nil"/>
              <w:left w:val="nil"/>
              <w:bottom w:val="single" w:sz="4" w:space="0" w:color="auto"/>
              <w:right w:val="single" w:sz="4" w:space="0" w:color="auto"/>
            </w:tcBorders>
            <w:noWrap/>
            <w:hideMark/>
          </w:tcPr>
          <w:p w14:paraId="0722A751" w14:textId="77777777" w:rsidR="00165486" w:rsidRPr="008D7F27" w:rsidRDefault="00165486">
            <w:pPr>
              <w:rPr>
                <w:lang w:val="es-ES" w:eastAsia="es-CO"/>
              </w:rPr>
            </w:pPr>
            <w:r w:rsidRPr="008D7F27">
              <w:rPr>
                <w:rStyle w:val="normaltextrun"/>
                <w:lang w:val="es-ES"/>
              </w:rPr>
              <w:t>Calcita (Caliza)</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57797490" w14:textId="77777777" w:rsidR="00165486" w:rsidRPr="008D7F27" w:rsidRDefault="00165486">
            <w:pPr>
              <w:rPr>
                <w:rStyle w:val="normaltextrun"/>
                <w:lang w:val="es-ES"/>
              </w:rPr>
            </w:pPr>
            <w:r w:rsidRPr="008D7F27">
              <w:rPr>
                <w:lang w:val="es-ES" w:eastAsia="es-CO"/>
              </w:rPr>
              <w:t>40</w:t>
            </w:r>
          </w:p>
        </w:tc>
        <w:tc>
          <w:tcPr>
            <w:tcW w:w="0" w:type="auto"/>
            <w:tcBorders>
              <w:top w:val="nil"/>
              <w:left w:val="nil"/>
              <w:bottom w:val="single" w:sz="4" w:space="0" w:color="auto"/>
              <w:right w:val="single" w:sz="4" w:space="0" w:color="auto"/>
            </w:tcBorders>
          </w:tcPr>
          <w:p w14:paraId="6979A39C" w14:textId="77777777" w:rsidR="00165486" w:rsidRPr="008D7F27" w:rsidRDefault="00165486">
            <w:pPr>
              <w:rPr>
                <w:rStyle w:val="normaltextrun"/>
                <w:lang w:val="es-ES"/>
              </w:rPr>
            </w:pPr>
            <w:r w:rsidRPr="008D7F27">
              <w:rPr>
                <w:rStyle w:val="normaltextrun"/>
                <w:lang w:val="es-ES"/>
              </w:rPr>
              <w:t>Plomo (incluida galena)</w:t>
            </w:r>
          </w:p>
        </w:tc>
      </w:tr>
      <w:tr w:rsidR="00165486" w:rsidRPr="008D7F27" w14:paraId="4797E20B"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135E7906" w14:textId="77777777" w:rsidR="00165486" w:rsidRPr="008D7F27" w:rsidRDefault="00165486">
            <w:pPr>
              <w:rPr>
                <w:lang w:val="es-ES" w:eastAsia="es-CO"/>
              </w:rPr>
            </w:pPr>
            <w:r w:rsidRPr="008D7F27">
              <w:rPr>
                <w:lang w:val="es-ES" w:eastAsia="es-CO"/>
              </w:rPr>
              <w:t>12</w:t>
            </w:r>
          </w:p>
        </w:tc>
        <w:tc>
          <w:tcPr>
            <w:tcW w:w="0" w:type="auto"/>
            <w:tcBorders>
              <w:top w:val="nil"/>
              <w:left w:val="nil"/>
              <w:bottom w:val="single" w:sz="4" w:space="0" w:color="auto"/>
              <w:right w:val="single" w:sz="4" w:space="0" w:color="auto"/>
            </w:tcBorders>
            <w:noWrap/>
            <w:hideMark/>
          </w:tcPr>
          <w:p w14:paraId="2A558D9C" w14:textId="77777777" w:rsidR="00165486" w:rsidRPr="008D7F27" w:rsidRDefault="00165486">
            <w:pPr>
              <w:rPr>
                <w:lang w:val="es-ES" w:eastAsia="es-CO"/>
              </w:rPr>
            </w:pPr>
            <w:r w:rsidRPr="008D7F27">
              <w:rPr>
                <w:rStyle w:val="normaltextrun"/>
                <w:lang w:val="es-ES"/>
              </w:rPr>
              <w:t>Caolín</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F265684" w14:textId="77777777" w:rsidR="00165486" w:rsidRPr="008D7F27" w:rsidRDefault="00165486">
            <w:pPr>
              <w:rPr>
                <w:rStyle w:val="normaltextrun"/>
                <w:lang w:val="es-ES"/>
              </w:rPr>
            </w:pPr>
            <w:r w:rsidRPr="008D7F27">
              <w:rPr>
                <w:lang w:val="es-ES" w:eastAsia="es-CO"/>
              </w:rPr>
              <w:t>41</w:t>
            </w:r>
          </w:p>
        </w:tc>
        <w:tc>
          <w:tcPr>
            <w:tcW w:w="0" w:type="auto"/>
            <w:tcBorders>
              <w:top w:val="nil"/>
              <w:left w:val="nil"/>
              <w:bottom w:val="single" w:sz="4" w:space="0" w:color="auto"/>
              <w:right w:val="single" w:sz="4" w:space="0" w:color="auto"/>
            </w:tcBorders>
          </w:tcPr>
          <w:p w14:paraId="6CD1CC4F" w14:textId="77777777" w:rsidR="00165486" w:rsidRPr="008D7F27" w:rsidRDefault="00165486">
            <w:pPr>
              <w:rPr>
                <w:rStyle w:val="normaltextrun"/>
                <w:lang w:val="es-ES"/>
              </w:rPr>
            </w:pPr>
            <w:r w:rsidRPr="008D7F27">
              <w:rPr>
                <w:rStyle w:val="normaltextrun"/>
                <w:lang w:val="es-ES"/>
              </w:rPr>
              <w:t>Potasio (potasa)</w:t>
            </w:r>
            <w:r w:rsidRPr="008D7F27">
              <w:rPr>
                <w:rStyle w:val="eop"/>
                <w:lang w:val="es-ES"/>
              </w:rPr>
              <w:t> </w:t>
            </w:r>
          </w:p>
        </w:tc>
      </w:tr>
      <w:tr w:rsidR="00165486" w:rsidRPr="008D7F27" w14:paraId="598AAAE9"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28C796B1" w14:textId="77777777" w:rsidR="00165486" w:rsidRPr="008D7F27" w:rsidRDefault="00165486">
            <w:pPr>
              <w:rPr>
                <w:lang w:val="es-ES" w:eastAsia="es-CO"/>
              </w:rPr>
            </w:pPr>
            <w:r w:rsidRPr="008D7F27">
              <w:rPr>
                <w:lang w:val="es-ES" w:eastAsia="es-CO"/>
              </w:rPr>
              <w:t>13</w:t>
            </w:r>
          </w:p>
        </w:tc>
        <w:tc>
          <w:tcPr>
            <w:tcW w:w="0" w:type="auto"/>
            <w:tcBorders>
              <w:top w:val="nil"/>
              <w:left w:val="nil"/>
              <w:bottom w:val="single" w:sz="4" w:space="0" w:color="auto"/>
              <w:right w:val="single" w:sz="4" w:space="0" w:color="auto"/>
            </w:tcBorders>
            <w:noWrap/>
            <w:hideMark/>
          </w:tcPr>
          <w:p w14:paraId="0BECBDD9" w14:textId="77777777" w:rsidR="00165486" w:rsidRPr="008D7F27" w:rsidRDefault="00165486">
            <w:pPr>
              <w:rPr>
                <w:lang w:val="es-ES" w:eastAsia="es-CO"/>
              </w:rPr>
            </w:pPr>
            <w:r w:rsidRPr="008D7F27">
              <w:rPr>
                <w:rStyle w:val="normaltextrun"/>
                <w:lang w:val="es-ES"/>
              </w:rPr>
              <w:t>Cesio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143BF47E" w14:textId="77777777" w:rsidR="00165486" w:rsidRPr="008D7F27" w:rsidRDefault="00165486">
            <w:pPr>
              <w:rPr>
                <w:rStyle w:val="normaltextrun"/>
                <w:lang w:val="es-ES"/>
              </w:rPr>
            </w:pPr>
            <w:r w:rsidRPr="008D7F27">
              <w:rPr>
                <w:lang w:val="es-ES" w:eastAsia="es-CO"/>
              </w:rPr>
              <w:t>42</w:t>
            </w:r>
          </w:p>
        </w:tc>
        <w:tc>
          <w:tcPr>
            <w:tcW w:w="0" w:type="auto"/>
            <w:tcBorders>
              <w:top w:val="nil"/>
              <w:left w:val="nil"/>
              <w:bottom w:val="single" w:sz="4" w:space="0" w:color="auto"/>
              <w:right w:val="single" w:sz="4" w:space="0" w:color="auto"/>
            </w:tcBorders>
          </w:tcPr>
          <w:p w14:paraId="5B1F4443" w14:textId="77777777" w:rsidR="00165486" w:rsidRPr="008D7F27" w:rsidRDefault="00165486">
            <w:pPr>
              <w:rPr>
                <w:rStyle w:val="normaltextrun"/>
                <w:lang w:val="es-ES"/>
              </w:rPr>
            </w:pPr>
            <w:r w:rsidRPr="008D7F27">
              <w:rPr>
                <w:rStyle w:val="normaltextrun"/>
                <w:lang w:val="es-ES"/>
              </w:rPr>
              <w:t>Renio</w:t>
            </w:r>
            <w:r w:rsidRPr="008D7F27">
              <w:rPr>
                <w:rStyle w:val="eop"/>
                <w:lang w:val="es-ES"/>
              </w:rPr>
              <w:t> </w:t>
            </w:r>
          </w:p>
        </w:tc>
      </w:tr>
      <w:tr w:rsidR="00165486" w:rsidRPr="008D7F27" w14:paraId="5B8DF633"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37CB8E0D" w14:textId="77777777" w:rsidR="00165486" w:rsidRPr="008D7F27" w:rsidRDefault="00165486">
            <w:pPr>
              <w:rPr>
                <w:lang w:val="es-ES" w:eastAsia="es-CO"/>
              </w:rPr>
            </w:pPr>
            <w:r w:rsidRPr="008D7F27">
              <w:rPr>
                <w:lang w:val="es-ES" w:eastAsia="es-CO"/>
              </w:rPr>
              <w:t>14</w:t>
            </w:r>
          </w:p>
        </w:tc>
        <w:tc>
          <w:tcPr>
            <w:tcW w:w="0" w:type="auto"/>
            <w:tcBorders>
              <w:top w:val="nil"/>
              <w:left w:val="nil"/>
              <w:bottom w:val="single" w:sz="4" w:space="0" w:color="auto"/>
              <w:right w:val="single" w:sz="4" w:space="0" w:color="auto"/>
            </w:tcBorders>
            <w:noWrap/>
            <w:hideMark/>
          </w:tcPr>
          <w:p w14:paraId="171567A9" w14:textId="77777777" w:rsidR="00165486" w:rsidRPr="008D7F27" w:rsidRDefault="00165486">
            <w:pPr>
              <w:rPr>
                <w:lang w:val="es-ES" w:eastAsia="es-CO"/>
              </w:rPr>
            </w:pPr>
            <w:r w:rsidRPr="008D7F27">
              <w:rPr>
                <w:rStyle w:val="normaltextrun"/>
                <w:lang w:val="es-ES"/>
              </w:rPr>
              <w:t>Circonio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B367731" w14:textId="77777777" w:rsidR="00165486" w:rsidRPr="008D7F27" w:rsidRDefault="00165486">
            <w:pPr>
              <w:rPr>
                <w:rStyle w:val="normaltextrun"/>
                <w:lang w:val="es-ES"/>
              </w:rPr>
            </w:pPr>
            <w:r w:rsidRPr="008D7F27">
              <w:rPr>
                <w:lang w:val="es-ES" w:eastAsia="es-CO"/>
              </w:rPr>
              <w:t>43</w:t>
            </w:r>
          </w:p>
        </w:tc>
        <w:tc>
          <w:tcPr>
            <w:tcW w:w="0" w:type="auto"/>
            <w:tcBorders>
              <w:top w:val="nil"/>
              <w:left w:val="nil"/>
              <w:bottom w:val="single" w:sz="4" w:space="0" w:color="auto"/>
              <w:right w:val="single" w:sz="4" w:space="0" w:color="auto"/>
            </w:tcBorders>
          </w:tcPr>
          <w:p w14:paraId="63876080" w14:textId="77777777" w:rsidR="00165486" w:rsidRPr="008D7F27" w:rsidRDefault="00165486">
            <w:pPr>
              <w:rPr>
                <w:rStyle w:val="normaltextrun"/>
                <w:lang w:val="es-ES"/>
              </w:rPr>
            </w:pPr>
            <w:r w:rsidRPr="008D7F27">
              <w:rPr>
                <w:rStyle w:val="normaltextrun"/>
                <w:lang w:val="es-ES"/>
              </w:rPr>
              <w:t>Rubidio</w:t>
            </w:r>
            <w:r w:rsidRPr="008D7F27">
              <w:rPr>
                <w:rStyle w:val="eop"/>
                <w:lang w:val="es-ES"/>
              </w:rPr>
              <w:t> </w:t>
            </w:r>
          </w:p>
        </w:tc>
      </w:tr>
      <w:tr w:rsidR="00165486" w:rsidRPr="008D7F27" w14:paraId="2A644B3E"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702AEB59" w14:textId="77777777" w:rsidR="00165486" w:rsidRPr="008D7F27" w:rsidRDefault="00165486">
            <w:pPr>
              <w:rPr>
                <w:lang w:val="es-ES" w:eastAsia="es-CO"/>
              </w:rPr>
            </w:pPr>
            <w:r w:rsidRPr="008D7F27">
              <w:rPr>
                <w:lang w:val="es-ES" w:eastAsia="es-CO"/>
              </w:rPr>
              <w:t>15</w:t>
            </w:r>
          </w:p>
        </w:tc>
        <w:tc>
          <w:tcPr>
            <w:tcW w:w="0" w:type="auto"/>
            <w:tcBorders>
              <w:top w:val="nil"/>
              <w:left w:val="nil"/>
              <w:bottom w:val="single" w:sz="4" w:space="0" w:color="auto"/>
              <w:right w:val="single" w:sz="4" w:space="0" w:color="auto"/>
            </w:tcBorders>
            <w:noWrap/>
            <w:hideMark/>
          </w:tcPr>
          <w:p w14:paraId="3993B9F5" w14:textId="77777777" w:rsidR="00165486" w:rsidRPr="008D7F27" w:rsidRDefault="00165486">
            <w:pPr>
              <w:rPr>
                <w:lang w:val="es-ES" w:eastAsia="es-CO"/>
              </w:rPr>
            </w:pPr>
            <w:r w:rsidRPr="008D7F27">
              <w:rPr>
                <w:rStyle w:val="normaltextrun"/>
                <w:lang w:val="es-ES"/>
              </w:rPr>
              <w:t>Cobalto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7351B2CF" w14:textId="77777777" w:rsidR="00165486" w:rsidRPr="008D7F27" w:rsidRDefault="00165486">
            <w:pPr>
              <w:rPr>
                <w:rStyle w:val="normaltextrun"/>
                <w:lang w:val="es-ES"/>
              </w:rPr>
            </w:pPr>
            <w:r w:rsidRPr="008D7F27">
              <w:rPr>
                <w:lang w:val="es-ES" w:eastAsia="es-CO"/>
              </w:rPr>
              <w:t>44</w:t>
            </w:r>
          </w:p>
        </w:tc>
        <w:tc>
          <w:tcPr>
            <w:tcW w:w="0" w:type="auto"/>
            <w:tcBorders>
              <w:top w:val="nil"/>
              <w:left w:val="nil"/>
              <w:bottom w:val="single" w:sz="4" w:space="0" w:color="auto"/>
              <w:right w:val="single" w:sz="4" w:space="0" w:color="auto"/>
            </w:tcBorders>
          </w:tcPr>
          <w:p w14:paraId="2045A1FE" w14:textId="77777777" w:rsidR="00165486" w:rsidRPr="008D7F27" w:rsidRDefault="00165486">
            <w:pPr>
              <w:rPr>
                <w:rStyle w:val="normaltextrun"/>
                <w:lang w:val="es-ES"/>
              </w:rPr>
            </w:pPr>
            <w:r w:rsidRPr="008D7F27">
              <w:rPr>
                <w:rStyle w:val="normaltextrun"/>
                <w:lang w:val="es-ES"/>
              </w:rPr>
              <w:t>Selenio</w:t>
            </w:r>
            <w:r w:rsidRPr="008D7F27">
              <w:rPr>
                <w:rStyle w:val="eop"/>
                <w:lang w:val="es-ES"/>
              </w:rPr>
              <w:t> </w:t>
            </w:r>
          </w:p>
        </w:tc>
      </w:tr>
      <w:tr w:rsidR="00165486" w:rsidRPr="008D7F27" w14:paraId="16258C0C"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64A74550" w14:textId="77777777" w:rsidR="00165486" w:rsidRPr="008D7F27" w:rsidRDefault="00165486">
            <w:pPr>
              <w:rPr>
                <w:lang w:val="es-ES" w:eastAsia="es-CO"/>
              </w:rPr>
            </w:pPr>
            <w:r w:rsidRPr="008D7F27">
              <w:rPr>
                <w:lang w:val="es-ES" w:eastAsia="es-CO"/>
              </w:rPr>
              <w:t>16</w:t>
            </w:r>
          </w:p>
        </w:tc>
        <w:tc>
          <w:tcPr>
            <w:tcW w:w="0" w:type="auto"/>
            <w:tcBorders>
              <w:top w:val="nil"/>
              <w:left w:val="nil"/>
              <w:bottom w:val="single" w:sz="4" w:space="0" w:color="auto"/>
              <w:right w:val="single" w:sz="4" w:space="0" w:color="auto"/>
            </w:tcBorders>
            <w:noWrap/>
            <w:hideMark/>
          </w:tcPr>
          <w:p w14:paraId="001B0C52" w14:textId="77777777" w:rsidR="00165486" w:rsidRPr="008D7F27" w:rsidRDefault="00165486">
            <w:pPr>
              <w:rPr>
                <w:lang w:val="es-ES" w:eastAsia="es-CO"/>
              </w:rPr>
            </w:pPr>
            <w:r w:rsidRPr="008D7F27">
              <w:rPr>
                <w:rStyle w:val="normaltextrun"/>
                <w:lang w:val="es-ES"/>
              </w:rPr>
              <w:t>Cobre</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8B45BBD" w14:textId="77777777" w:rsidR="00165486" w:rsidRPr="008D7F27" w:rsidRDefault="00165486">
            <w:pPr>
              <w:rPr>
                <w:rStyle w:val="normaltextrun"/>
                <w:lang w:val="es-ES"/>
              </w:rPr>
            </w:pPr>
            <w:r w:rsidRPr="008D7F27">
              <w:rPr>
                <w:lang w:val="es-ES" w:eastAsia="es-CO"/>
              </w:rPr>
              <w:t>45</w:t>
            </w:r>
          </w:p>
        </w:tc>
        <w:tc>
          <w:tcPr>
            <w:tcW w:w="0" w:type="auto"/>
            <w:tcBorders>
              <w:top w:val="nil"/>
              <w:left w:val="nil"/>
              <w:bottom w:val="single" w:sz="4" w:space="0" w:color="auto"/>
              <w:right w:val="single" w:sz="4" w:space="0" w:color="auto"/>
            </w:tcBorders>
          </w:tcPr>
          <w:p w14:paraId="2A30331C" w14:textId="77777777" w:rsidR="00165486" w:rsidRPr="008D7F27" w:rsidRDefault="00165486">
            <w:pPr>
              <w:rPr>
                <w:rStyle w:val="normaltextrun"/>
                <w:lang w:val="es-ES"/>
              </w:rPr>
            </w:pPr>
            <w:r w:rsidRPr="008D7F27">
              <w:rPr>
                <w:rStyle w:val="normaltextrun"/>
                <w:lang w:val="es-ES"/>
              </w:rPr>
              <w:t>Silicio (arenas)</w:t>
            </w:r>
            <w:r w:rsidRPr="008D7F27">
              <w:rPr>
                <w:rStyle w:val="eop"/>
                <w:lang w:val="es-ES"/>
              </w:rPr>
              <w:t> </w:t>
            </w:r>
          </w:p>
        </w:tc>
      </w:tr>
      <w:tr w:rsidR="00165486" w:rsidRPr="008D7F27" w14:paraId="57FEF47B"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397A57CA" w14:textId="77777777" w:rsidR="00165486" w:rsidRPr="008D7F27" w:rsidRDefault="00165486">
            <w:pPr>
              <w:rPr>
                <w:lang w:val="es-ES" w:eastAsia="es-CO"/>
              </w:rPr>
            </w:pPr>
            <w:r w:rsidRPr="008D7F27">
              <w:rPr>
                <w:lang w:val="es-ES" w:eastAsia="es-CO"/>
              </w:rPr>
              <w:t>17</w:t>
            </w:r>
          </w:p>
        </w:tc>
        <w:tc>
          <w:tcPr>
            <w:tcW w:w="0" w:type="auto"/>
            <w:tcBorders>
              <w:top w:val="nil"/>
              <w:left w:val="nil"/>
              <w:bottom w:val="single" w:sz="4" w:space="0" w:color="auto"/>
              <w:right w:val="single" w:sz="4" w:space="0" w:color="auto"/>
            </w:tcBorders>
            <w:noWrap/>
            <w:hideMark/>
          </w:tcPr>
          <w:p w14:paraId="2586B966" w14:textId="77777777" w:rsidR="00165486" w:rsidRPr="008D7F27" w:rsidRDefault="00165486">
            <w:pPr>
              <w:rPr>
                <w:lang w:val="es-ES" w:eastAsia="es-CO"/>
              </w:rPr>
            </w:pPr>
            <w:r w:rsidRPr="008D7F27">
              <w:rPr>
                <w:rStyle w:val="normaltextrun"/>
                <w:lang w:val="es-ES"/>
              </w:rPr>
              <w:t>Cromo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3C834FCD" w14:textId="77777777" w:rsidR="00165486" w:rsidRPr="008D7F27" w:rsidRDefault="00165486">
            <w:pPr>
              <w:rPr>
                <w:rStyle w:val="normaltextrun"/>
                <w:lang w:val="es-ES"/>
              </w:rPr>
            </w:pPr>
            <w:r w:rsidRPr="008D7F27">
              <w:rPr>
                <w:lang w:val="es-ES" w:eastAsia="es-CO"/>
              </w:rPr>
              <w:t>46</w:t>
            </w:r>
          </w:p>
        </w:tc>
        <w:tc>
          <w:tcPr>
            <w:tcW w:w="0" w:type="auto"/>
            <w:tcBorders>
              <w:top w:val="nil"/>
              <w:left w:val="nil"/>
              <w:bottom w:val="single" w:sz="4" w:space="0" w:color="auto"/>
              <w:right w:val="single" w:sz="4" w:space="0" w:color="auto"/>
            </w:tcBorders>
          </w:tcPr>
          <w:p w14:paraId="14994BD5" w14:textId="77777777" w:rsidR="00165486" w:rsidRPr="008D7F27" w:rsidRDefault="00165486">
            <w:pPr>
              <w:rPr>
                <w:rStyle w:val="normaltextrun"/>
                <w:lang w:val="es-ES"/>
              </w:rPr>
            </w:pPr>
            <w:r w:rsidRPr="008D7F27">
              <w:rPr>
                <w:rStyle w:val="normaltextrun"/>
                <w:lang w:val="es-ES"/>
              </w:rPr>
              <w:t>Sodio</w:t>
            </w:r>
            <w:r w:rsidRPr="008D7F27">
              <w:rPr>
                <w:rStyle w:val="eop"/>
                <w:lang w:val="es-ES"/>
              </w:rPr>
              <w:t> </w:t>
            </w:r>
          </w:p>
        </w:tc>
      </w:tr>
      <w:tr w:rsidR="00165486" w:rsidRPr="008D7F27" w14:paraId="3C026442"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6AF6052C" w14:textId="77777777" w:rsidR="00165486" w:rsidRPr="008D7F27" w:rsidRDefault="00165486">
            <w:pPr>
              <w:rPr>
                <w:lang w:val="es-ES" w:eastAsia="es-CO"/>
              </w:rPr>
            </w:pPr>
            <w:r w:rsidRPr="008D7F27">
              <w:rPr>
                <w:lang w:val="es-ES" w:eastAsia="es-CO"/>
              </w:rPr>
              <w:t>18</w:t>
            </w:r>
          </w:p>
        </w:tc>
        <w:tc>
          <w:tcPr>
            <w:tcW w:w="0" w:type="auto"/>
            <w:tcBorders>
              <w:top w:val="nil"/>
              <w:left w:val="nil"/>
              <w:bottom w:val="single" w:sz="4" w:space="0" w:color="auto"/>
              <w:right w:val="single" w:sz="4" w:space="0" w:color="auto"/>
            </w:tcBorders>
            <w:noWrap/>
            <w:hideMark/>
          </w:tcPr>
          <w:p w14:paraId="7B3157CD" w14:textId="77777777" w:rsidR="00165486" w:rsidRPr="008D7F27" w:rsidRDefault="00165486">
            <w:pPr>
              <w:rPr>
                <w:lang w:val="es-ES" w:eastAsia="es-CO"/>
              </w:rPr>
            </w:pPr>
            <w:r w:rsidRPr="008D7F27">
              <w:rPr>
                <w:rStyle w:val="normaltextrun"/>
                <w:lang w:val="es-ES"/>
              </w:rPr>
              <w:t>Estaño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F024630" w14:textId="77777777" w:rsidR="00165486" w:rsidRPr="008D7F27" w:rsidRDefault="00165486">
            <w:pPr>
              <w:rPr>
                <w:rStyle w:val="normaltextrun"/>
                <w:lang w:val="es-ES"/>
              </w:rPr>
            </w:pPr>
            <w:r w:rsidRPr="008D7F27">
              <w:rPr>
                <w:lang w:val="es-ES" w:eastAsia="es-CO"/>
              </w:rPr>
              <w:t>47</w:t>
            </w:r>
          </w:p>
        </w:tc>
        <w:tc>
          <w:tcPr>
            <w:tcW w:w="0" w:type="auto"/>
            <w:tcBorders>
              <w:top w:val="nil"/>
              <w:left w:val="nil"/>
              <w:bottom w:val="single" w:sz="4" w:space="0" w:color="auto"/>
              <w:right w:val="single" w:sz="4" w:space="0" w:color="auto"/>
            </w:tcBorders>
          </w:tcPr>
          <w:p w14:paraId="054B7CE1" w14:textId="77777777" w:rsidR="00165486" w:rsidRPr="008D7F27" w:rsidRDefault="00165486">
            <w:pPr>
              <w:rPr>
                <w:rStyle w:val="normaltextrun"/>
                <w:lang w:val="es-ES"/>
              </w:rPr>
            </w:pPr>
            <w:r w:rsidRPr="008D7F27">
              <w:rPr>
                <w:rStyle w:val="normaltextrun"/>
                <w:lang w:val="es-ES"/>
              </w:rPr>
              <w:t>Talio</w:t>
            </w:r>
            <w:r w:rsidRPr="008D7F27">
              <w:rPr>
                <w:rStyle w:val="eop"/>
                <w:lang w:val="es-ES"/>
              </w:rPr>
              <w:t> </w:t>
            </w:r>
          </w:p>
        </w:tc>
      </w:tr>
      <w:tr w:rsidR="00165486" w:rsidRPr="008D7F27" w14:paraId="2C829799"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42CD0B5F" w14:textId="77777777" w:rsidR="00165486" w:rsidRPr="008D7F27" w:rsidRDefault="00165486">
            <w:pPr>
              <w:rPr>
                <w:lang w:val="es-ES" w:eastAsia="es-CO"/>
              </w:rPr>
            </w:pPr>
            <w:r w:rsidRPr="008D7F27">
              <w:rPr>
                <w:lang w:val="es-ES" w:eastAsia="es-CO"/>
              </w:rPr>
              <w:t>19</w:t>
            </w:r>
          </w:p>
        </w:tc>
        <w:tc>
          <w:tcPr>
            <w:tcW w:w="0" w:type="auto"/>
            <w:tcBorders>
              <w:top w:val="nil"/>
              <w:left w:val="nil"/>
              <w:bottom w:val="single" w:sz="4" w:space="0" w:color="auto"/>
              <w:right w:val="single" w:sz="4" w:space="0" w:color="auto"/>
            </w:tcBorders>
            <w:noWrap/>
            <w:hideMark/>
          </w:tcPr>
          <w:p w14:paraId="4F3A1BB8" w14:textId="77777777" w:rsidR="00165486" w:rsidRPr="008D7F27" w:rsidRDefault="00165486">
            <w:pPr>
              <w:rPr>
                <w:lang w:val="es-ES" w:eastAsia="es-CO"/>
              </w:rPr>
            </w:pPr>
            <w:r w:rsidRPr="008D7F27">
              <w:rPr>
                <w:rStyle w:val="normaltextrun"/>
                <w:lang w:val="es-ES"/>
              </w:rPr>
              <w:t>Estroncio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03464461" w14:textId="77777777" w:rsidR="00165486" w:rsidRPr="008D7F27" w:rsidRDefault="00165486">
            <w:pPr>
              <w:rPr>
                <w:rStyle w:val="normaltextrun"/>
                <w:lang w:val="es-ES"/>
              </w:rPr>
            </w:pPr>
            <w:r w:rsidRPr="008D7F27">
              <w:rPr>
                <w:lang w:val="es-ES" w:eastAsia="es-CO"/>
              </w:rPr>
              <w:t>48</w:t>
            </w:r>
          </w:p>
        </w:tc>
        <w:tc>
          <w:tcPr>
            <w:tcW w:w="0" w:type="auto"/>
            <w:tcBorders>
              <w:top w:val="nil"/>
              <w:left w:val="nil"/>
              <w:bottom w:val="single" w:sz="4" w:space="0" w:color="auto"/>
              <w:right w:val="single" w:sz="4" w:space="0" w:color="auto"/>
            </w:tcBorders>
          </w:tcPr>
          <w:p w14:paraId="39B9EB3F" w14:textId="77777777" w:rsidR="00165486" w:rsidRPr="008D7F27" w:rsidRDefault="00165486">
            <w:pPr>
              <w:rPr>
                <w:rStyle w:val="normaltextrun"/>
                <w:lang w:val="es-ES"/>
              </w:rPr>
            </w:pPr>
            <w:r w:rsidRPr="008D7F27">
              <w:rPr>
                <w:rStyle w:val="normaltextrun"/>
                <w:lang w:val="es-ES"/>
              </w:rPr>
              <w:t>Coltán (Tantalio, Tantalo y Niobio)</w:t>
            </w:r>
            <w:r w:rsidRPr="008D7F27">
              <w:rPr>
                <w:rStyle w:val="eop"/>
                <w:lang w:val="es-ES"/>
              </w:rPr>
              <w:t> </w:t>
            </w:r>
          </w:p>
        </w:tc>
      </w:tr>
      <w:tr w:rsidR="00165486" w:rsidRPr="008D7F27" w14:paraId="1F9AB520"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28FE8C8B" w14:textId="77777777" w:rsidR="00165486" w:rsidRPr="008D7F27" w:rsidRDefault="00165486">
            <w:pPr>
              <w:rPr>
                <w:lang w:val="es-ES" w:eastAsia="es-CO"/>
              </w:rPr>
            </w:pPr>
            <w:r w:rsidRPr="008D7F27">
              <w:rPr>
                <w:lang w:val="es-ES" w:eastAsia="es-CO"/>
              </w:rPr>
              <w:t>20</w:t>
            </w:r>
          </w:p>
        </w:tc>
        <w:tc>
          <w:tcPr>
            <w:tcW w:w="0" w:type="auto"/>
            <w:tcBorders>
              <w:top w:val="nil"/>
              <w:left w:val="nil"/>
              <w:bottom w:val="single" w:sz="4" w:space="0" w:color="auto"/>
              <w:right w:val="single" w:sz="4" w:space="0" w:color="auto"/>
            </w:tcBorders>
            <w:noWrap/>
            <w:hideMark/>
          </w:tcPr>
          <w:p w14:paraId="486280AB" w14:textId="77777777" w:rsidR="00165486" w:rsidRPr="008D7F27" w:rsidRDefault="00165486">
            <w:pPr>
              <w:rPr>
                <w:lang w:val="es-ES" w:eastAsia="es-CO"/>
              </w:rPr>
            </w:pPr>
            <w:r w:rsidRPr="008D7F27">
              <w:rPr>
                <w:rStyle w:val="normaltextrun"/>
                <w:lang w:val="es-ES"/>
              </w:rPr>
              <w:t>Feldespato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05EF079A" w14:textId="77777777" w:rsidR="00165486" w:rsidRPr="008D7F27" w:rsidRDefault="00165486">
            <w:pPr>
              <w:rPr>
                <w:rStyle w:val="normaltextrun"/>
                <w:lang w:val="es-ES"/>
              </w:rPr>
            </w:pPr>
            <w:r w:rsidRPr="008D7F27">
              <w:rPr>
                <w:lang w:val="es-ES" w:eastAsia="es-CO"/>
              </w:rPr>
              <w:t>49</w:t>
            </w:r>
          </w:p>
        </w:tc>
        <w:tc>
          <w:tcPr>
            <w:tcW w:w="0" w:type="auto"/>
            <w:tcBorders>
              <w:top w:val="nil"/>
              <w:left w:val="nil"/>
              <w:bottom w:val="single" w:sz="4" w:space="0" w:color="auto"/>
              <w:right w:val="single" w:sz="4" w:space="0" w:color="auto"/>
            </w:tcBorders>
          </w:tcPr>
          <w:p w14:paraId="3E034C81" w14:textId="77777777" w:rsidR="00165486" w:rsidRPr="008D7F27" w:rsidRDefault="00165486">
            <w:pPr>
              <w:rPr>
                <w:rStyle w:val="normaltextrun"/>
                <w:lang w:val="es-ES"/>
              </w:rPr>
            </w:pPr>
            <w:r w:rsidRPr="008D7F27">
              <w:rPr>
                <w:rStyle w:val="normaltextrun"/>
                <w:lang w:val="es-ES"/>
              </w:rPr>
              <w:t>Telurio</w:t>
            </w:r>
            <w:r w:rsidRPr="008D7F27">
              <w:rPr>
                <w:rStyle w:val="eop"/>
                <w:lang w:val="es-ES"/>
              </w:rPr>
              <w:t> </w:t>
            </w:r>
          </w:p>
        </w:tc>
      </w:tr>
      <w:tr w:rsidR="00165486" w:rsidRPr="008D7F27" w14:paraId="53D28897"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0D235250" w14:textId="77777777" w:rsidR="00165486" w:rsidRPr="008D7F27" w:rsidRDefault="00165486">
            <w:pPr>
              <w:rPr>
                <w:lang w:val="es-ES" w:eastAsia="es-CO"/>
              </w:rPr>
            </w:pPr>
            <w:r w:rsidRPr="008D7F27">
              <w:rPr>
                <w:lang w:val="es-ES" w:eastAsia="es-CO"/>
              </w:rPr>
              <w:t>21</w:t>
            </w:r>
          </w:p>
        </w:tc>
        <w:tc>
          <w:tcPr>
            <w:tcW w:w="0" w:type="auto"/>
            <w:tcBorders>
              <w:top w:val="nil"/>
              <w:left w:val="nil"/>
              <w:bottom w:val="single" w:sz="4" w:space="0" w:color="auto"/>
              <w:right w:val="single" w:sz="4" w:space="0" w:color="auto"/>
            </w:tcBorders>
            <w:noWrap/>
            <w:hideMark/>
          </w:tcPr>
          <w:p w14:paraId="1F1977B1" w14:textId="77777777" w:rsidR="00165486" w:rsidRPr="008D7F27" w:rsidRDefault="00165486">
            <w:pPr>
              <w:rPr>
                <w:lang w:val="es-ES" w:eastAsia="es-CO"/>
              </w:rPr>
            </w:pPr>
            <w:r w:rsidRPr="008D7F27">
              <w:rPr>
                <w:rStyle w:val="normaltextrun"/>
                <w:lang w:val="es-ES"/>
              </w:rPr>
              <w:t>Fluorita (espato flúor)</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F1196B8" w14:textId="77777777" w:rsidR="00165486" w:rsidRPr="008D7F27" w:rsidRDefault="00165486">
            <w:pPr>
              <w:rPr>
                <w:rStyle w:val="normaltextrun"/>
                <w:lang w:val="es-ES"/>
              </w:rPr>
            </w:pPr>
            <w:r w:rsidRPr="008D7F27">
              <w:rPr>
                <w:lang w:val="es-ES" w:eastAsia="es-CO"/>
              </w:rPr>
              <w:t>50</w:t>
            </w:r>
          </w:p>
        </w:tc>
        <w:tc>
          <w:tcPr>
            <w:tcW w:w="0" w:type="auto"/>
            <w:tcBorders>
              <w:top w:val="nil"/>
              <w:left w:val="nil"/>
              <w:bottom w:val="single" w:sz="4" w:space="0" w:color="auto"/>
              <w:right w:val="single" w:sz="4" w:space="0" w:color="auto"/>
            </w:tcBorders>
          </w:tcPr>
          <w:p w14:paraId="50CFED61" w14:textId="77777777" w:rsidR="00165486" w:rsidRPr="008D7F27" w:rsidRDefault="00165486">
            <w:pPr>
              <w:rPr>
                <w:rStyle w:val="normaltextrun"/>
                <w:lang w:val="es-ES"/>
              </w:rPr>
            </w:pPr>
            <w:r w:rsidRPr="008D7F27">
              <w:rPr>
                <w:rStyle w:val="normaltextrun"/>
                <w:lang w:val="es-ES"/>
              </w:rPr>
              <w:t>Tierras raras</w:t>
            </w:r>
            <w:r w:rsidRPr="008D7F27">
              <w:rPr>
                <w:rStyle w:val="eop"/>
                <w:lang w:val="es-ES"/>
              </w:rPr>
              <w:t> </w:t>
            </w:r>
          </w:p>
        </w:tc>
      </w:tr>
      <w:tr w:rsidR="00165486" w:rsidRPr="008D7F27" w14:paraId="2EA808C5"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4ECEE757" w14:textId="77777777" w:rsidR="00165486" w:rsidRPr="008D7F27" w:rsidRDefault="00165486">
            <w:pPr>
              <w:rPr>
                <w:lang w:val="es-ES" w:eastAsia="es-CO"/>
              </w:rPr>
            </w:pPr>
            <w:r w:rsidRPr="008D7F27">
              <w:rPr>
                <w:lang w:val="es-ES" w:eastAsia="es-CO"/>
              </w:rPr>
              <w:t>22</w:t>
            </w:r>
          </w:p>
        </w:tc>
        <w:tc>
          <w:tcPr>
            <w:tcW w:w="0" w:type="auto"/>
            <w:tcBorders>
              <w:top w:val="nil"/>
              <w:left w:val="nil"/>
              <w:bottom w:val="single" w:sz="4" w:space="0" w:color="auto"/>
              <w:right w:val="single" w:sz="4" w:space="0" w:color="auto"/>
            </w:tcBorders>
            <w:noWrap/>
            <w:hideMark/>
          </w:tcPr>
          <w:p w14:paraId="728DD051" w14:textId="77777777" w:rsidR="00165486" w:rsidRPr="008D7F27" w:rsidRDefault="00165486">
            <w:pPr>
              <w:rPr>
                <w:lang w:val="es-ES" w:eastAsia="es-CO"/>
              </w:rPr>
            </w:pPr>
            <w:r w:rsidRPr="008D7F27">
              <w:rPr>
                <w:rStyle w:val="normaltextrun"/>
                <w:lang w:val="es-ES"/>
              </w:rPr>
              <w:t>Fósforo (Incluido fosfato)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457D99DA" w14:textId="77777777" w:rsidR="00165486" w:rsidRPr="008D7F27" w:rsidRDefault="00165486">
            <w:pPr>
              <w:rPr>
                <w:rStyle w:val="normaltextrun"/>
                <w:lang w:val="es-ES"/>
              </w:rPr>
            </w:pPr>
            <w:r w:rsidRPr="008D7F27">
              <w:rPr>
                <w:lang w:val="es-ES" w:eastAsia="es-CO"/>
              </w:rPr>
              <w:t>51</w:t>
            </w:r>
          </w:p>
        </w:tc>
        <w:tc>
          <w:tcPr>
            <w:tcW w:w="0" w:type="auto"/>
            <w:tcBorders>
              <w:top w:val="nil"/>
              <w:left w:val="nil"/>
              <w:bottom w:val="single" w:sz="4" w:space="0" w:color="auto"/>
              <w:right w:val="single" w:sz="4" w:space="0" w:color="auto"/>
            </w:tcBorders>
          </w:tcPr>
          <w:p w14:paraId="7E8425B8" w14:textId="77777777" w:rsidR="00165486" w:rsidRPr="008D7F27" w:rsidRDefault="00165486">
            <w:pPr>
              <w:rPr>
                <w:rStyle w:val="normaltextrun"/>
                <w:lang w:val="es-ES"/>
              </w:rPr>
            </w:pPr>
            <w:r w:rsidRPr="008D7F27">
              <w:rPr>
                <w:rStyle w:val="normaltextrun"/>
                <w:lang w:val="es-ES"/>
              </w:rPr>
              <w:t>Titanio</w:t>
            </w:r>
            <w:r w:rsidRPr="008D7F27">
              <w:rPr>
                <w:rStyle w:val="eop"/>
                <w:lang w:val="es-ES"/>
              </w:rPr>
              <w:t> </w:t>
            </w:r>
          </w:p>
        </w:tc>
      </w:tr>
      <w:tr w:rsidR="00165486" w:rsidRPr="008D7F27" w14:paraId="0F32FB39"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7F6529E1" w14:textId="77777777" w:rsidR="00165486" w:rsidRPr="008D7F27" w:rsidRDefault="00165486">
            <w:pPr>
              <w:rPr>
                <w:lang w:val="es-ES" w:eastAsia="es-CO"/>
              </w:rPr>
            </w:pPr>
            <w:r w:rsidRPr="008D7F27">
              <w:rPr>
                <w:lang w:val="es-ES" w:eastAsia="es-CO"/>
              </w:rPr>
              <w:t>23</w:t>
            </w:r>
          </w:p>
        </w:tc>
        <w:tc>
          <w:tcPr>
            <w:tcW w:w="0" w:type="auto"/>
            <w:tcBorders>
              <w:top w:val="nil"/>
              <w:left w:val="nil"/>
              <w:bottom w:val="single" w:sz="4" w:space="0" w:color="auto"/>
              <w:right w:val="single" w:sz="4" w:space="0" w:color="auto"/>
            </w:tcBorders>
            <w:noWrap/>
            <w:hideMark/>
          </w:tcPr>
          <w:p w14:paraId="6704A568" w14:textId="77777777" w:rsidR="00165486" w:rsidRPr="008D7F27" w:rsidRDefault="00165486">
            <w:pPr>
              <w:rPr>
                <w:lang w:val="es-ES" w:eastAsia="es-CO"/>
              </w:rPr>
            </w:pPr>
            <w:r w:rsidRPr="008D7F27">
              <w:rPr>
                <w:rStyle w:val="normaltextrun"/>
                <w:lang w:val="es-ES"/>
              </w:rPr>
              <w:t>Galio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384A6C9C" w14:textId="77777777" w:rsidR="00165486" w:rsidRPr="008D7F27" w:rsidRDefault="00165486">
            <w:pPr>
              <w:rPr>
                <w:rStyle w:val="normaltextrun"/>
                <w:lang w:val="es-ES"/>
              </w:rPr>
            </w:pPr>
            <w:r w:rsidRPr="008D7F27">
              <w:rPr>
                <w:lang w:val="es-ES" w:eastAsia="es-CO"/>
              </w:rPr>
              <w:t>52</w:t>
            </w:r>
          </w:p>
        </w:tc>
        <w:tc>
          <w:tcPr>
            <w:tcW w:w="0" w:type="auto"/>
            <w:tcBorders>
              <w:top w:val="nil"/>
              <w:left w:val="nil"/>
              <w:bottom w:val="single" w:sz="4" w:space="0" w:color="auto"/>
              <w:right w:val="single" w:sz="4" w:space="0" w:color="auto"/>
            </w:tcBorders>
          </w:tcPr>
          <w:p w14:paraId="1A3570BE" w14:textId="77777777" w:rsidR="00165486" w:rsidRPr="008D7F27" w:rsidRDefault="00165486">
            <w:pPr>
              <w:rPr>
                <w:rStyle w:val="normaltextrun"/>
                <w:lang w:val="es-ES"/>
              </w:rPr>
            </w:pPr>
            <w:r w:rsidRPr="008D7F27">
              <w:rPr>
                <w:rStyle w:val="normaltextrun"/>
                <w:lang w:val="es-ES"/>
              </w:rPr>
              <w:t>Torio</w:t>
            </w:r>
            <w:r w:rsidRPr="008D7F27">
              <w:rPr>
                <w:rStyle w:val="eop"/>
                <w:lang w:val="es-ES"/>
              </w:rPr>
              <w:t> </w:t>
            </w:r>
          </w:p>
        </w:tc>
      </w:tr>
      <w:tr w:rsidR="00165486" w:rsidRPr="008D7F27" w14:paraId="1C273F26"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31DC7726" w14:textId="77777777" w:rsidR="00165486" w:rsidRPr="008D7F27" w:rsidRDefault="00165486">
            <w:pPr>
              <w:rPr>
                <w:lang w:val="es-ES" w:eastAsia="es-CO"/>
              </w:rPr>
            </w:pPr>
            <w:r w:rsidRPr="008D7F27">
              <w:rPr>
                <w:lang w:val="es-ES" w:eastAsia="es-CO"/>
              </w:rPr>
              <w:t>24</w:t>
            </w:r>
          </w:p>
        </w:tc>
        <w:tc>
          <w:tcPr>
            <w:tcW w:w="0" w:type="auto"/>
            <w:tcBorders>
              <w:top w:val="nil"/>
              <w:left w:val="nil"/>
              <w:bottom w:val="single" w:sz="4" w:space="0" w:color="auto"/>
              <w:right w:val="single" w:sz="4" w:space="0" w:color="auto"/>
            </w:tcBorders>
            <w:noWrap/>
            <w:hideMark/>
          </w:tcPr>
          <w:p w14:paraId="71D3C48B" w14:textId="77777777" w:rsidR="00165486" w:rsidRPr="008D7F27" w:rsidRDefault="00165486">
            <w:pPr>
              <w:rPr>
                <w:lang w:val="es-ES" w:eastAsia="es-CO"/>
              </w:rPr>
            </w:pPr>
            <w:r w:rsidRPr="008D7F27">
              <w:rPr>
                <w:rStyle w:val="normaltextrun"/>
                <w:lang w:val="es-ES"/>
              </w:rPr>
              <w:t>Germanio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6427FD3C" w14:textId="77777777" w:rsidR="00165486" w:rsidRPr="008D7F27" w:rsidRDefault="00165486">
            <w:pPr>
              <w:rPr>
                <w:rStyle w:val="normaltextrun"/>
                <w:lang w:val="es-ES"/>
              </w:rPr>
            </w:pPr>
            <w:r w:rsidRPr="008D7F27">
              <w:rPr>
                <w:lang w:val="es-ES" w:eastAsia="es-CO"/>
              </w:rPr>
              <w:t>53</w:t>
            </w:r>
          </w:p>
        </w:tc>
        <w:tc>
          <w:tcPr>
            <w:tcW w:w="0" w:type="auto"/>
            <w:tcBorders>
              <w:top w:val="nil"/>
              <w:left w:val="nil"/>
              <w:bottom w:val="single" w:sz="4" w:space="0" w:color="auto"/>
              <w:right w:val="single" w:sz="4" w:space="0" w:color="auto"/>
            </w:tcBorders>
          </w:tcPr>
          <w:p w14:paraId="6D2AC07C" w14:textId="77777777" w:rsidR="00165486" w:rsidRPr="008D7F27" w:rsidRDefault="00165486">
            <w:pPr>
              <w:rPr>
                <w:rStyle w:val="normaltextrun"/>
                <w:lang w:val="es-ES"/>
              </w:rPr>
            </w:pPr>
            <w:r w:rsidRPr="008D7F27">
              <w:rPr>
                <w:rStyle w:val="normaltextrun"/>
                <w:lang w:val="es-ES"/>
              </w:rPr>
              <w:t>Tungsteno (wolframio)</w:t>
            </w:r>
            <w:r w:rsidRPr="008D7F27">
              <w:rPr>
                <w:rStyle w:val="eop"/>
                <w:lang w:val="es-ES"/>
              </w:rPr>
              <w:t> </w:t>
            </w:r>
          </w:p>
        </w:tc>
      </w:tr>
      <w:tr w:rsidR="00165486" w:rsidRPr="008D7F27" w14:paraId="1409C7DC"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28AE5013" w14:textId="77777777" w:rsidR="00165486" w:rsidRPr="008D7F27" w:rsidRDefault="00165486">
            <w:pPr>
              <w:rPr>
                <w:lang w:val="es-ES" w:eastAsia="es-CO"/>
              </w:rPr>
            </w:pPr>
            <w:r w:rsidRPr="008D7F27">
              <w:rPr>
                <w:lang w:val="es-ES" w:eastAsia="es-CO"/>
              </w:rPr>
              <w:t>25</w:t>
            </w:r>
          </w:p>
        </w:tc>
        <w:tc>
          <w:tcPr>
            <w:tcW w:w="0" w:type="auto"/>
            <w:tcBorders>
              <w:top w:val="nil"/>
              <w:left w:val="nil"/>
              <w:bottom w:val="single" w:sz="4" w:space="0" w:color="auto"/>
              <w:right w:val="single" w:sz="4" w:space="0" w:color="auto"/>
            </w:tcBorders>
            <w:noWrap/>
            <w:hideMark/>
          </w:tcPr>
          <w:p w14:paraId="4242B661" w14:textId="77777777" w:rsidR="00165486" w:rsidRPr="008D7F27" w:rsidRDefault="00165486">
            <w:pPr>
              <w:rPr>
                <w:lang w:val="es-ES" w:eastAsia="es-CO"/>
              </w:rPr>
            </w:pPr>
            <w:r w:rsidRPr="008D7F27">
              <w:rPr>
                <w:rStyle w:val="normaltextrun"/>
                <w:lang w:val="es-ES"/>
              </w:rPr>
              <w:t>Grafito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145B7A09" w14:textId="77777777" w:rsidR="00165486" w:rsidRPr="008D7F27" w:rsidRDefault="00165486">
            <w:pPr>
              <w:rPr>
                <w:rStyle w:val="normaltextrun"/>
                <w:lang w:val="es-ES"/>
              </w:rPr>
            </w:pPr>
            <w:r w:rsidRPr="008D7F27">
              <w:rPr>
                <w:lang w:val="es-ES" w:eastAsia="es-CO"/>
              </w:rPr>
              <w:t>54</w:t>
            </w:r>
          </w:p>
        </w:tc>
        <w:tc>
          <w:tcPr>
            <w:tcW w:w="0" w:type="auto"/>
            <w:tcBorders>
              <w:top w:val="nil"/>
              <w:left w:val="nil"/>
              <w:bottom w:val="single" w:sz="4" w:space="0" w:color="auto"/>
              <w:right w:val="single" w:sz="4" w:space="0" w:color="auto"/>
            </w:tcBorders>
          </w:tcPr>
          <w:p w14:paraId="14657A19" w14:textId="77777777" w:rsidR="00165486" w:rsidRPr="008D7F27" w:rsidRDefault="00165486">
            <w:pPr>
              <w:rPr>
                <w:rStyle w:val="normaltextrun"/>
                <w:lang w:val="es-ES"/>
              </w:rPr>
            </w:pPr>
            <w:r w:rsidRPr="008D7F27">
              <w:rPr>
                <w:rStyle w:val="normaltextrun"/>
                <w:lang w:val="es-ES"/>
              </w:rPr>
              <w:t>Uranio</w:t>
            </w:r>
            <w:r w:rsidRPr="008D7F27">
              <w:rPr>
                <w:rStyle w:val="eop"/>
                <w:lang w:val="es-ES"/>
              </w:rPr>
              <w:t> </w:t>
            </w:r>
          </w:p>
        </w:tc>
      </w:tr>
      <w:tr w:rsidR="00165486" w:rsidRPr="008D7F27" w14:paraId="70857146"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5644EDEE" w14:textId="77777777" w:rsidR="00165486" w:rsidRPr="008D7F27" w:rsidRDefault="00165486">
            <w:pPr>
              <w:rPr>
                <w:lang w:val="es-ES" w:eastAsia="es-CO"/>
              </w:rPr>
            </w:pPr>
            <w:r w:rsidRPr="008D7F27">
              <w:rPr>
                <w:lang w:val="es-ES" w:eastAsia="es-CO"/>
              </w:rPr>
              <w:t>26</w:t>
            </w:r>
          </w:p>
        </w:tc>
        <w:tc>
          <w:tcPr>
            <w:tcW w:w="0" w:type="auto"/>
            <w:tcBorders>
              <w:top w:val="nil"/>
              <w:left w:val="nil"/>
              <w:bottom w:val="single" w:sz="4" w:space="0" w:color="auto"/>
              <w:right w:val="single" w:sz="4" w:space="0" w:color="auto"/>
            </w:tcBorders>
            <w:noWrap/>
            <w:hideMark/>
          </w:tcPr>
          <w:p w14:paraId="2D68A758" w14:textId="77777777" w:rsidR="00165486" w:rsidRPr="008D7F27" w:rsidRDefault="00165486">
            <w:pPr>
              <w:rPr>
                <w:lang w:val="es-ES" w:eastAsia="es-CO"/>
              </w:rPr>
            </w:pPr>
            <w:r w:rsidRPr="008D7F27">
              <w:rPr>
                <w:rStyle w:val="normaltextrun"/>
                <w:lang w:val="es-ES"/>
              </w:rPr>
              <w:t>Hafnio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2E89351" w14:textId="77777777" w:rsidR="00165486" w:rsidRPr="008D7F27" w:rsidRDefault="00165486">
            <w:pPr>
              <w:rPr>
                <w:rStyle w:val="normaltextrun"/>
                <w:lang w:val="es-ES"/>
              </w:rPr>
            </w:pPr>
            <w:r w:rsidRPr="008D7F27">
              <w:rPr>
                <w:lang w:val="es-ES" w:eastAsia="es-CO"/>
              </w:rPr>
              <w:t>55</w:t>
            </w:r>
          </w:p>
        </w:tc>
        <w:tc>
          <w:tcPr>
            <w:tcW w:w="0" w:type="auto"/>
            <w:tcBorders>
              <w:top w:val="nil"/>
              <w:left w:val="nil"/>
              <w:bottom w:val="single" w:sz="4" w:space="0" w:color="auto"/>
              <w:right w:val="single" w:sz="4" w:space="0" w:color="auto"/>
            </w:tcBorders>
          </w:tcPr>
          <w:p w14:paraId="4F6854AE" w14:textId="77777777" w:rsidR="00165486" w:rsidRPr="008D7F27" w:rsidRDefault="00165486">
            <w:pPr>
              <w:rPr>
                <w:rStyle w:val="normaltextrun"/>
                <w:lang w:val="es-ES"/>
              </w:rPr>
            </w:pPr>
            <w:r w:rsidRPr="008D7F27">
              <w:rPr>
                <w:rStyle w:val="normaltextrun"/>
                <w:lang w:val="es-ES"/>
              </w:rPr>
              <w:t>Vanadio</w:t>
            </w:r>
            <w:r w:rsidRPr="008D7F27">
              <w:rPr>
                <w:rStyle w:val="eop"/>
                <w:lang w:val="es-ES"/>
              </w:rPr>
              <w:t> </w:t>
            </w:r>
          </w:p>
        </w:tc>
      </w:tr>
      <w:tr w:rsidR="00165486" w:rsidRPr="008D7F27" w14:paraId="084042F7"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4A577102" w14:textId="77777777" w:rsidR="00165486" w:rsidRPr="008D7F27" w:rsidRDefault="00165486">
            <w:pPr>
              <w:rPr>
                <w:lang w:val="es-ES" w:eastAsia="es-CO"/>
              </w:rPr>
            </w:pPr>
            <w:r w:rsidRPr="008D7F27">
              <w:rPr>
                <w:lang w:val="es-ES" w:eastAsia="es-CO"/>
              </w:rPr>
              <w:t>27</w:t>
            </w:r>
          </w:p>
        </w:tc>
        <w:tc>
          <w:tcPr>
            <w:tcW w:w="0" w:type="auto"/>
            <w:tcBorders>
              <w:top w:val="nil"/>
              <w:left w:val="nil"/>
              <w:bottom w:val="single" w:sz="4" w:space="0" w:color="auto"/>
              <w:right w:val="single" w:sz="4" w:space="0" w:color="auto"/>
            </w:tcBorders>
            <w:noWrap/>
            <w:hideMark/>
          </w:tcPr>
          <w:p w14:paraId="179726D5" w14:textId="77777777" w:rsidR="00165486" w:rsidRPr="008D7F27" w:rsidRDefault="00165486">
            <w:pPr>
              <w:rPr>
                <w:lang w:val="es-ES" w:eastAsia="es-CO"/>
              </w:rPr>
            </w:pPr>
            <w:r w:rsidRPr="008D7F27">
              <w:rPr>
                <w:rStyle w:val="normaltextrun"/>
                <w:lang w:val="es-ES"/>
              </w:rPr>
              <w:t>Hierro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1CB96956" w14:textId="77777777" w:rsidR="00165486" w:rsidRPr="008D7F27" w:rsidRDefault="00165486">
            <w:pPr>
              <w:rPr>
                <w:rStyle w:val="normaltextrun"/>
                <w:lang w:val="es-ES"/>
              </w:rPr>
            </w:pPr>
            <w:r w:rsidRPr="008D7F27">
              <w:rPr>
                <w:lang w:val="es-ES" w:eastAsia="es-CO"/>
              </w:rPr>
              <w:t>56</w:t>
            </w:r>
          </w:p>
        </w:tc>
        <w:tc>
          <w:tcPr>
            <w:tcW w:w="0" w:type="auto"/>
            <w:tcBorders>
              <w:top w:val="nil"/>
              <w:left w:val="nil"/>
              <w:bottom w:val="single" w:sz="4" w:space="0" w:color="auto"/>
              <w:right w:val="single" w:sz="4" w:space="0" w:color="auto"/>
            </w:tcBorders>
          </w:tcPr>
          <w:p w14:paraId="100AC550" w14:textId="77777777" w:rsidR="00165486" w:rsidRPr="008D7F27" w:rsidRDefault="00165486">
            <w:pPr>
              <w:rPr>
                <w:rStyle w:val="normaltextrun"/>
                <w:lang w:val="es-ES"/>
              </w:rPr>
            </w:pPr>
            <w:r w:rsidRPr="008D7F27">
              <w:rPr>
                <w:rStyle w:val="normaltextrun"/>
                <w:lang w:val="es-ES"/>
              </w:rPr>
              <w:t>Yeso</w:t>
            </w:r>
            <w:r w:rsidRPr="008D7F27">
              <w:rPr>
                <w:rStyle w:val="eop"/>
                <w:lang w:val="es-ES"/>
              </w:rPr>
              <w:t> </w:t>
            </w:r>
          </w:p>
        </w:tc>
      </w:tr>
      <w:tr w:rsidR="00165486" w:rsidRPr="008D7F27" w14:paraId="265CF0FD"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2455BA59" w14:textId="77777777" w:rsidR="00165486" w:rsidRPr="008D7F27" w:rsidRDefault="00165486">
            <w:pPr>
              <w:rPr>
                <w:lang w:val="es-ES" w:eastAsia="es-CO"/>
              </w:rPr>
            </w:pPr>
            <w:r w:rsidRPr="008D7F27">
              <w:rPr>
                <w:lang w:val="es-ES" w:eastAsia="es-CO"/>
              </w:rPr>
              <w:lastRenderedPageBreak/>
              <w:t>28</w:t>
            </w:r>
          </w:p>
        </w:tc>
        <w:tc>
          <w:tcPr>
            <w:tcW w:w="0" w:type="auto"/>
            <w:tcBorders>
              <w:top w:val="nil"/>
              <w:left w:val="nil"/>
              <w:bottom w:val="single" w:sz="4" w:space="0" w:color="auto"/>
              <w:right w:val="single" w:sz="4" w:space="0" w:color="auto"/>
            </w:tcBorders>
            <w:noWrap/>
            <w:hideMark/>
          </w:tcPr>
          <w:p w14:paraId="07DAC027" w14:textId="77777777" w:rsidR="00165486" w:rsidRPr="008D7F27" w:rsidRDefault="00165486">
            <w:pPr>
              <w:rPr>
                <w:lang w:val="es-ES" w:eastAsia="es-CO"/>
              </w:rPr>
            </w:pPr>
            <w:r w:rsidRPr="008D7F27">
              <w:rPr>
                <w:rStyle w:val="normaltextrun"/>
                <w:lang w:val="es-ES"/>
              </w:rPr>
              <w:t>Indio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6E0A4725" w14:textId="77777777" w:rsidR="00165486" w:rsidRPr="008D7F27" w:rsidRDefault="00165486">
            <w:pPr>
              <w:rPr>
                <w:rStyle w:val="normaltextrun"/>
                <w:lang w:val="es-ES"/>
              </w:rPr>
            </w:pPr>
            <w:r w:rsidRPr="008D7F27">
              <w:rPr>
                <w:lang w:val="es-ES" w:eastAsia="es-CO"/>
              </w:rPr>
              <w:t>57</w:t>
            </w:r>
          </w:p>
        </w:tc>
        <w:tc>
          <w:tcPr>
            <w:tcW w:w="0" w:type="auto"/>
            <w:tcBorders>
              <w:top w:val="nil"/>
              <w:left w:val="nil"/>
              <w:bottom w:val="single" w:sz="4" w:space="0" w:color="auto"/>
              <w:right w:val="single" w:sz="4" w:space="0" w:color="auto"/>
            </w:tcBorders>
          </w:tcPr>
          <w:p w14:paraId="1B585260" w14:textId="77777777" w:rsidR="00165486" w:rsidRPr="008D7F27" w:rsidRDefault="00165486">
            <w:pPr>
              <w:rPr>
                <w:rStyle w:val="normaltextrun"/>
                <w:lang w:val="es-ES"/>
              </w:rPr>
            </w:pPr>
            <w:r w:rsidRPr="008D7F27">
              <w:rPr>
                <w:rStyle w:val="normaltextrun"/>
                <w:lang w:val="es-ES"/>
              </w:rPr>
              <w:t>Zeolita (Cesio) Puzolana</w:t>
            </w:r>
            <w:r w:rsidRPr="008D7F27">
              <w:rPr>
                <w:rStyle w:val="eop"/>
                <w:lang w:val="es-ES"/>
              </w:rPr>
              <w:t> </w:t>
            </w:r>
          </w:p>
        </w:tc>
      </w:tr>
      <w:tr w:rsidR="00165486" w:rsidRPr="008D7F27" w14:paraId="35F3C58E" w14:textId="77777777">
        <w:trPr>
          <w:trHeight w:val="261"/>
          <w:jc w:val="center"/>
        </w:trPr>
        <w:tc>
          <w:tcPr>
            <w:tcW w:w="0" w:type="auto"/>
            <w:tcBorders>
              <w:top w:val="nil"/>
              <w:left w:val="single" w:sz="4" w:space="0" w:color="auto"/>
              <w:bottom w:val="single" w:sz="4" w:space="0" w:color="auto"/>
              <w:right w:val="single" w:sz="4" w:space="0" w:color="auto"/>
            </w:tcBorders>
            <w:noWrap/>
            <w:vAlign w:val="bottom"/>
            <w:hideMark/>
          </w:tcPr>
          <w:p w14:paraId="5695D1A8" w14:textId="77777777" w:rsidR="00165486" w:rsidRPr="008D7F27" w:rsidRDefault="00165486">
            <w:pPr>
              <w:rPr>
                <w:lang w:val="es-ES" w:eastAsia="es-CO"/>
              </w:rPr>
            </w:pPr>
            <w:r w:rsidRPr="008D7F27">
              <w:rPr>
                <w:lang w:val="es-ES" w:eastAsia="es-CO"/>
              </w:rPr>
              <w:t>29</w:t>
            </w:r>
          </w:p>
        </w:tc>
        <w:tc>
          <w:tcPr>
            <w:tcW w:w="0" w:type="auto"/>
            <w:tcBorders>
              <w:top w:val="nil"/>
              <w:left w:val="nil"/>
              <w:bottom w:val="single" w:sz="4" w:space="0" w:color="auto"/>
              <w:right w:val="single" w:sz="4" w:space="0" w:color="auto"/>
            </w:tcBorders>
            <w:noWrap/>
            <w:hideMark/>
          </w:tcPr>
          <w:p w14:paraId="4C98F944" w14:textId="77777777" w:rsidR="00165486" w:rsidRPr="008D7F27" w:rsidRDefault="00165486">
            <w:pPr>
              <w:rPr>
                <w:lang w:val="es-ES" w:eastAsia="es-CO"/>
              </w:rPr>
            </w:pPr>
            <w:r w:rsidRPr="008D7F27">
              <w:rPr>
                <w:rStyle w:val="normaltextrun"/>
                <w:lang w:val="es-ES"/>
              </w:rPr>
              <w:t>Litio</w:t>
            </w:r>
            <w:r w:rsidRPr="008D7F27">
              <w:rPr>
                <w:rStyle w:val="eop"/>
                <w:lang w:val="es-ES"/>
              </w:rPr>
              <w:t> </w:t>
            </w:r>
          </w:p>
        </w:tc>
        <w:tc>
          <w:tcPr>
            <w:tcW w:w="0" w:type="auto"/>
            <w:tcBorders>
              <w:top w:val="nil"/>
              <w:left w:val="nil"/>
              <w:bottom w:val="single" w:sz="4" w:space="0" w:color="auto"/>
              <w:right w:val="single" w:sz="4" w:space="0" w:color="auto"/>
            </w:tcBorders>
            <w:vAlign w:val="bottom"/>
          </w:tcPr>
          <w:p w14:paraId="239F7A60" w14:textId="77777777" w:rsidR="00165486" w:rsidRPr="008D7F27" w:rsidRDefault="00165486">
            <w:pPr>
              <w:rPr>
                <w:rStyle w:val="normaltextrun"/>
                <w:lang w:val="es-ES"/>
              </w:rPr>
            </w:pPr>
            <w:r w:rsidRPr="008D7F27">
              <w:rPr>
                <w:lang w:val="es-ES" w:eastAsia="es-CO"/>
              </w:rPr>
              <w:t>58</w:t>
            </w:r>
          </w:p>
        </w:tc>
        <w:tc>
          <w:tcPr>
            <w:tcW w:w="0" w:type="auto"/>
            <w:tcBorders>
              <w:top w:val="nil"/>
              <w:left w:val="nil"/>
              <w:bottom w:val="single" w:sz="4" w:space="0" w:color="auto"/>
              <w:right w:val="single" w:sz="4" w:space="0" w:color="auto"/>
            </w:tcBorders>
          </w:tcPr>
          <w:p w14:paraId="38267218" w14:textId="77777777" w:rsidR="00165486" w:rsidRPr="008D7F27" w:rsidRDefault="00165486">
            <w:pPr>
              <w:rPr>
                <w:rStyle w:val="normaltextrun"/>
                <w:lang w:val="es-ES"/>
              </w:rPr>
            </w:pPr>
            <w:r w:rsidRPr="008D7F27">
              <w:rPr>
                <w:rStyle w:val="normaltextrun"/>
                <w:lang w:val="es-ES"/>
              </w:rPr>
              <w:t>Zinc</w:t>
            </w:r>
            <w:r w:rsidRPr="008D7F27">
              <w:rPr>
                <w:rStyle w:val="eop"/>
                <w:lang w:val="es-ES"/>
              </w:rPr>
              <w:t> </w:t>
            </w:r>
          </w:p>
        </w:tc>
      </w:tr>
    </w:tbl>
    <w:p w14:paraId="63EEB352" w14:textId="4190D7DA" w:rsidR="00165486" w:rsidRPr="00165486" w:rsidRDefault="464A7A84" w:rsidP="0EFAC22F">
      <w:pPr>
        <w:jc w:val="center"/>
        <w:rPr>
          <w:i/>
          <w:iCs/>
          <w:color w:val="000000" w:themeColor="text1"/>
          <w:sz w:val="18"/>
          <w:szCs w:val="18"/>
          <w:lang w:val="es-ES"/>
        </w:rPr>
      </w:pPr>
      <w:r w:rsidRPr="0EFAC22F">
        <w:rPr>
          <w:i/>
          <w:iCs/>
          <w:lang w:val="es-ES"/>
        </w:rPr>
        <w:t>Fuente: Elaboración propia a partir de las fichas</w:t>
      </w:r>
      <w:r w:rsidR="028F7A79" w:rsidRPr="0EFAC22F">
        <w:rPr>
          <w:i/>
          <w:iCs/>
          <w:lang w:val="es-ES"/>
        </w:rPr>
        <w:t xml:space="preserve"> de experiencias internacionales</w:t>
      </w:r>
    </w:p>
    <w:p w14:paraId="1D8059EE" w14:textId="0ECED448" w:rsidR="00856BEA" w:rsidRPr="008D7F27" w:rsidRDefault="464A7A84" w:rsidP="00165486">
      <w:pPr>
        <w:rPr>
          <w:lang w:val="es-ES"/>
        </w:rPr>
      </w:pPr>
      <w:r>
        <w:rPr>
          <w:lang w:val="es-ES"/>
        </w:rPr>
        <w:t>Posteriormente</w:t>
      </w:r>
      <w:r w:rsidR="3CC78CC5" w:rsidRPr="008D7F27">
        <w:rPr>
          <w:lang w:val="es-ES"/>
        </w:rPr>
        <w:t>, se adelant</w:t>
      </w:r>
      <w:r w:rsidR="74C92943" w:rsidRPr="008D7F27">
        <w:rPr>
          <w:lang w:val="es-ES"/>
        </w:rPr>
        <w:t>a</w:t>
      </w:r>
      <w:r w:rsidR="3CC78CC5" w:rsidRPr="008D7F27">
        <w:rPr>
          <w:lang w:val="es-ES"/>
        </w:rPr>
        <w:t xml:space="preserve"> un ejercicio de comparación </w:t>
      </w:r>
      <w:r w:rsidR="39F0A209" w:rsidRPr="008D7F27">
        <w:rPr>
          <w:lang w:val="es-ES"/>
        </w:rPr>
        <w:t>principalmente de</w:t>
      </w:r>
      <w:r w:rsidR="3CC78CC5" w:rsidRPr="008D7F27">
        <w:rPr>
          <w:lang w:val="es-ES"/>
        </w:rPr>
        <w:t xml:space="preserve"> conceptos</w:t>
      </w:r>
      <w:r w:rsidR="39F0A209" w:rsidRPr="008D7F27">
        <w:rPr>
          <w:lang w:val="es-ES"/>
        </w:rPr>
        <w:t xml:space="preserve"> adoptados</w:t>
      </w:r>
      <w:r w:rsidR="3CC78CC5" w:rsidRPr="008D7F27">
        <w:rPr>
          <w:lang w:val="es-ES"/>
        </w:rPr>
        <w:t xml:space="preserve">, </w:t>
      </w:r>
      <w:r w:rsidR="39F0A209" w:rsidRPr="008D7F27">
        <w:rPr>
          <w:lang w:val="es-ES"/>
        </w:rPr>
        <w:t xml:space="preserve">así como de </w:t>
      </w:r>
      <w:r w:rsidR="3CC78CC5" w:rsidRPr="008D7F27">
        <w:rPr>
          <w:lang w:val="es-ES"/>
        </w:rPr>
        <w:t>criterios</w:t>
      </w:r>
      <w:r w:rsidR="74C92943" w:rsidRPr="008D7F27">
        <w:rPr>
          <w:lang w:val="es-ES"/>
        </w:rPr>
        <w:t xml:space="preserve">, </w:t>
      </w:r>
      <w:r w:rsidR="3CC78CC5" w:rsidRPr="008D7F27">
        <w:rPr>
          <w:lang w:val="es-ES"/>
        </w:rPr>
        <w:t>variables y metodologías, con el propósito de identificar convergencias y divergencias de enfoque entre las distintas experiencias internacionales. El análisis parte de una clasificación de los países seleccionados, según su nivel de ingresos de acuerdo con las definiciones del Banco Mundial</w:t>
      </w:r>
      <w:r w:rsidR="00856BEA" w:rsidRPr="008D7F27">
        <w:rPr>
          <w:rStyle w:val="Refdenotaalpie"/>
          <w:lang w:val="es-ES"/>
        </w:rPr>
        <w:footnoteReference w:id="4"/>
      </w:r>
      <w:r w:rsidR="3CC78CC5" w:rsidRPr="008D7F27">
        <w:rPr>
          <w:lang w:val="es-ES"/>
        </w:rPr>
        <w:t>, toda vez que las orientaciones en la definición de la política varían en función de sus niveles de industrialización y capacidades productivas</w:t>
      </w:r>
      <w:r w:rsidR="46C10D05" w:rsidRPr="008D7F27">
        <w:rPr>
          <w:lang w:val="es-ES"/>
        </w:rPr>
        <w:t>.</w:t>
      </w:r>
    </w:p>
    <w:p w14:paraId="6006AE70" w14:textId="77777777" w:rsidR="3B948A05" w:rsidRPr="008D7F27" w:rsidRDefault="002A3C3A" w:rsidP="00537988">
      <w:pPr>
        <w:rPr>
          <w:lang w:val="es-ES"/>
        </w:rPr>
      </w:pPr>
      <w:r w:rsidRPr="008D7F27">
        <w:rPr>
          <w:lang w:val="es-ES"/>
        </w:rPr>
        <w:t xml:space="preserve">Lo anterior, </w:t>
      </w:r>
      <w:r w:rsidR="6DC6ABCD" w:rsidRPr="008D7F27">
        <w:rPr>
          <w:lang w:val="es-ES"/>
        </w:rPr>
        <w:t xml:space="preserve">permite reconocer no solo cómo definen otros países sus minerales críticos y/o estratégicos, sino también qué variables priorizan y cómo estructuran sus metodologías. </w:t>
      </w:r>
      <w:r w:rsidR="6315D15A" w:rsidRPr="008D7F27">
        <w:rPr>
          <w:lang w:val="es-ES"/>
        </w:rPr>
        <w:t>El resultado de este análisis</w:t>
      </w:r>
      <w:r w:rsidR="6DC6ABCD" w:rsidRPr="008D7F27">
        <w:rPr>
          <w:lang w:val="es-ES"/>
        </w:rPr>
        <w:t xml:space="preserve"> </w:t>
      </w:r>
      <w:r w:rsidR="2450A7E7" w:rsidRPr="008D7F27">
        <w:rPr>
          <w:lang w:val="es-ES"/>
        </w:rPr>
        <w:t>s</w:t>
      </w:r>
      <w:r w:rsidR="2C4146E2" w:rsidRPr="008D7F27">
        <w:rPr>
          <w:lang w:val="es-ES"/>
        </w:rPr>
        <w:t>e presenta</w:t>
      </w:r>
      <w:r w:rsidR="28BE0846" w:rsidRPr="008D7F27">
        <w:rPr>
          <w:lang w:val="es-ES"/>
        </w:rPr>
        <w:t xml:space="preserve"> </w:t>
      </w:r>
      <w:r w:rsidR="6DC6ABCD" w:rsidRPr="008D7F27">
        <w:rPr>
          <w:lang w:val="es-ES"/>
        </w:rPr>
        <w:t xml:space="preserve">en el </w:t>
      </w:r>
      <w:r w:rsidRPr="008D7F27">
        <w:rPr>
          <w:lang w:val="es-ES"/>
        </w:rPr>
        <w:t>“</w:t>
      </w:r>
      <w:r w:rsidR="7C9E607C" w:rsidRPr="008D7F27">
        <w:rPr>
          <w:lang w:val="es-ES"/>
        </w:rPr>
        <w:t>C</w:t>
      </w:r>
      <w:r w:rsidR="6DC6ABCD" w:rsidRPr="008D7F27">
        <w:rPr>
          <w:lang w:val="es-ES"/>
        </w:rPr>
        <w:t>apítulo 4</w:t>
      </w:r>
      <w:r w:rsidR="4CFFBD77" w:rsidRPr="008D7F27">
        <w:rPr>
          <w:lang w:val="es-ES"/>
        </w:rPr>
        <w:t xml:space="preserve">. </w:t>
      </w:r>
      <w:r w:rsidR="2CF80677" w:rsidRPr="008D7F27">
        <w:rPr>
          <w:lang w:val="es-ES"/>
        </w:rPr>
        <w:t>Análisis de Contexto Internacional</w:t>
      </w:r>
      <w:r w:rsidRPr="008D7F27">
        <w:rPr>
          <w:lang w:val="es-ES"/>
        </w:rPr>
        <w:t>”, con lo cual</w:t>
      </w:r>
      <w:r w:rsidR="6DC6ABCD" w:rsidRPr="008D7F27">
        <w:rPr>
          <w:lang w:val="es-ES"/>
        </w:rPr>
        <w:t xml:space="preserve"> </w:t>
      </w:r>
      <w:r w:rsidRPr="008D7F27">
        <w:rPr>
          <w:lang w:val="es-ES"/>
        </w:rPr>
        <w:t xml:space="preserve">se </w:t>
      </w:r>
      <w:r w:rsidR="6DC6ABCD" w:rsidRPr="008D7F27">
        <w:rPr>
          <w:lang w:val="es-ES"/>
        </w:rPr>
        <w:t>establece</w:t>
      </w:r>
      <w:r w:rsidRPr="008D7F27">
        <w:rPr>
          <w:lang w:val="es-ES"/>
        </w:rPr>
        <w:t>n</w:t>
      </w:r>
      <w:r w:rsidR="6DC6ABCD" w:rsidRPr="008D7F27">
        <w:rPr>
          <w:lang w:val="es-ES"/>
        </w:rPr>
        <w:t xml:space="preserve"> patrones comparativos y </w:t>
      </w:r>
      <w:r w:rsidRPr="008D7F27">
        <w:rPr>
          <w:lang w:val="es-ES"/>
        </w:rPr>
        <w:t xml:space="preserve">se </w:t>
      </w:r>
      <w:r w:rsidR="6DC6ABCD" w:rsidRPr="008D7F27">
        <w:rPr>
          <w:lang w:val="es-ES"/>
        </w:rPr>
        <w:t xml:space="preserve">orienta la definición </w:t>
      </w:r>
      <w:r w:rsidR="4AC1EA36" w:rsidRPr="008D7F27">
        <w:rPr>
          <w:lang w:val="es-ES"/>
        </w:rPr>
        <w:t xml:space="preserve">conceptual y </w:t>
      </w:r>
      <w:r w:rsidR="6DC6ABCD" w:rsidRPr="008D7F27">
        <w:rPr>
          <w:lang w:val="es-ES"/>
        </w:rPr>
        <w:t>metodológica propuesta para el caso colombiano.</w:t>
      </w:r>
    </w:p>
    <w:p w14:paraId="7B5EFA9E" w14:textId="77777777" w:rsidR="3B948A05" w:rsidRPr="008D7F27" w:rsidRDefault="0023608D" w:rsidP="00647644">
      <w:pPr>
        <w:rPr>
          <w:lang w:val="es-ES"/>
        </w:rPr>
      </w:pPr>
      <w:r w:rsidRPr="008D7F27">
        <w:rPr>
          <w:lang w:val="es-ES"/>
        </w:rPr>
        <w:t>La metodología propuesta considera la revisión de los lineamientos definidos en el Acuerdo 01 de 2023 y del listado vigente determinado mediante Resolución 1006 de 2023, así como la formulación de una propuesta de lineamientos actualizados para la determinación de minerales estratégicos en Colombia</w:t>
      </w:r>
      <w:r w:rsidR="00647644" w:rsidRPr="008D7F27">
        <w:rPr>
          <w:lang w:val="es-ES"/>
        </w:rPr>
        <w:t>, mediante</w:t>
      </w:r>
      <w:r w:rsidR="6DC6ABCD" w:rsidRPr="008D7F27">
        <w:rPr>
          <w:lang w:val="es-ES"/>
        </w:rPr>
        <w:t xml:space="preserve"> una depuración analítica de los elementos</w:t>
      </w:r>
      <w:r w:rsidR="534C1E4A" w:rsidRPr="008D7F27">
        <w:rPr>
          <w:lang w:val="es-ES"/>
        </w:rPr>
        <w:t xml:space="preserve"> identificados en el</w:t>
      </w:r>
      <w:r w:rsidR="6DC6ABCD" w:rsidRPr="008D7F27">
        <w:rPr>
          <w:lang w:val="es-ES"/>
        </w:rPr>
        <w:t xml:space="preserve"> contexto internacional </w:t>
      </w:r>
      <w:r w:rsidR="34C8688D" w:rsidRPr="008D7F27">
        <w:rPr>
          <w:lang w:val="es-ES"/>
        </w:rPr>
        <w:t xml:space="preserve">y adaptada a las particularidades del escenario </w:t>
      </w:r>
      <w:r w:rsidR="6DC6ABCD" w:rsidRPr="008D7F27">
        <w:rPr>
          <w:lang w:val="es-ES"/>
        </w:rPr>
        <w:t xml:space="preserve">colombiano.  </w:t>
      </w:r>
    </w:p>
    <w:p w14:paraId="05C169E0" w14:textId="77777777" w:rsidR="3B948A05" w:rsidRPr="008D7F27" w:rsidRDefault="002A3C3A" w:rsidP="00537988">
      <w:pPr>
        <w:rPr>
          <w:lang w:val="es-ES"/>
        </w:rPr>
      </w:pPr>
      <w:r w:rsidRPr="008D7F27">
        <w:rPr>
          <w:lang w:val="es-ES"/>
        </w:rPr>
        <w:t xml:space="preserve">La </w:t>
      </w:r>
      <w:r w:rsidR="6DC6ABCD" w:rsidRPr="008D7F27">
        <w:rPr>
          <w:lang w:val="es-ES"/>
        </w:rPr>
        <w:t xml:space="preserve">propuesta es </w:t>
      </w:r>
      <w:r w:rsidRPr="008D7F27">
        <w:rPr>
          <w:lang w:val="es-ES"/>
        </w:rPr>
        <w:t xml:space="preserve">socializada </w:t>
      </w:r>
      <w:r w:rsidR="52DC0C3B" w:rsidRPr="008D7F27">
        <w:rPr>
          <w:lang w:val="es-ES"/>
        </w:rPr>
        <w:t>con</w:t>
      </w:r>
      <w:r w:rsidR="6DC6ABCD" w:rsidRPr="008D7F27">
        <w:rPr>
          <w:lang w:val="es-ES"/>
        </w:rPr>
        <w:t xml:space="preserve"> las entidades </w:t>
      </w:r>
      <w:r w:rsidR="00647644" w:rsidRPr="008D7F27">
        <w:rPr>
          <w:lang w:val="es-ES"/>
        </w:rPr>
        <w:t xml:space="preserve">públicas </w:t>
      </w:r>
      <w:r w:rsidR="6DC6ABCD" w:rsidRPr="008D7F27">
        <w:rPr>
          <w:lang w:val="es-ES"/>
        </w:rPr>
        <w:t xml:space="preserve">del sector minero </w:t>
      </w:r>
      <w:r w:rsidR="727B9EE9" w:rsidRPr="008D7F27">
        <w:rPr>
          <w:lang w:val="es-ES"/>
        </w:rPr>
        <w:t xml:space="preserve">y </w:t>
      </w:r>
      <w:r w:rsidR="00647644" w:rsidRPr="008D7F27">
        <w:rPr>
          <w:lang w:val="es-ES"/>
        </w:rPr>
        <w:t xml:space="preserve">otros </w:t>
      </w:r>
      <w:r w:rsidR="4520A287" w:rsidRPr="008D7F27">
        <w:rPr>
          <w:lang w:val="es-ES"/>
        </w:rPr>
        <w:t>relacion</w:t>
      </w:r>
      <w:r w:rsidR="727B9EE9" w:rsidRPr="008D7F27">
        <w:rPr>
          <w:lang w:val="es-ES"/>
        </w:rPr>
        <w:t>ados</w:t>
      </w:r>
      <w:r w:rsidR="4520A287" w:rsidRPr="008D7F27">
        <w:rPr>
          <w:lang w:val="es-ES"/>
        </w:rPr>
        <w:t xml:space="preserve"> con</w:t>
      </w:r>
      <w:r w:rsidR="727B9EE9" w:rsidRPr="008D7F27">
        <w:rPr>
          <w:lang w:val="es-ES"/>
        </w:rPr>
        <w:t xml:space="preserve"> los lineamientos propuestos</w:t>
      </w:r>
      <w:r w:rsidR="25883B58" w:rsidRPr="008D7F27">
        <w:rPr>
          <w:lang w:val="es-ES"/>
        </w:rPr>
        <w:t>,</w:t>
      </w:r>
      <w:r w:rsidR="727B9EE9" w:rsidRPr="008D7F27">
        <w:rPr>
          <w:lang w:val="es-ES"/>
        </w:rPr>
        <w:t xml:space="preserve"> </w:t>
      </w:r>
      <w:r w:rsidR="6DC6ABCD" w:rsidRPr="008D7F27">
        <w:rPr>
          <w:lang w:val="es-ES"/>
        </w:rPr>
        <w:t xml:space="preserve">con el fin de recibir observaciones técnicas que permitan su retroalimentación y ajuste </w:t>
      </w:r>
      <w:r w:rsidRPr="008D7F27">
        <w:rPr>
          <w:lang w:val="es-ES"/>
        </w:rPr>
        <w:t>acorde con</w:t>
      </w:r>
      <w:r w:rsidR="6DC6ABCD" w:rsidRPr="008D7F27">
        <w:rPr>
          <w:lang w:val="es-ES"/>
        </w:rPr>
        <w:t xml:space="preserve"> los comentarios recibidos</w:t>
      </w:r>
      <w:r w:rsidRPr="008D7F27">
        <w:rPr>
          <w:lang w:val="es-ES"/>
        </w:rPr>
        <w:t xml:space="preserve"> que resulten pertinentes</w:t>
      </w:r>
      <w:r w:rsidR="6DC6ABCD" w:rsidRPr="008D7F27">
        <w:rPr>
          <w:lang w:val="es-ES"/>
        </w:rPr>
        <w:t xml:space="preserve">. </w:t>
      </w:r>
    </w:p>
    <w:p w14:paraId="68076E32" w14:textId="4AA156A0" w:rsidR="00A02AEE" w:rsidRPr="008D7F27" w:rsidRDefault="00A02AEE" w:rsidP="00537988">
      <w:pPr>
        <w:rPr>
          <w:lang w:val="es-ES"/>
        </w:rPr>
      </w:pPr>
      <w:r w:rsidRPr="008D7F27">
        <w:rPr>
          <w:lang w:val="es-ES"/>
        </w:rPr>
        <w:t xml:space="preserve">Como resultado de este proceso, se presenta ante el Consejo Directivo de la ANM el presente documento, el cual contiene la propuesta de </w:t>
      </w:r>
      <w:r w:rsidR="2585679E" w:rsidRPr="61048EED">
        <w:rPr>
          <w:lang w:val="es-ES"/>
        </w:rPr>
        <w:t>ocho</w:t>
      </w:r>
      <w:r w:rsidRPr="008D7F27">
        <w:rPr>
          <w:lang w:val="es-ES"/>
        </w:rPr>
        <w:t xml:space="preserve"> nuevos lineamientos, las variables recomendadas para cada lineamiento en el marco de la metodología que se defina para la determinación de minerales estratégicos de Colombia, y un listado preliminar de minerales sujetos a evaluación en dicha metodología.</w:t>
      </w:r>
    </w:p>
    <w:p w14:paraId="001B5A5F" w14:textId="77777777" w:rsidR="00C52A27" w:rsidRPr="008D7F27" w:rsidRDefault="2A5E218F" w:rsidP="00C52A27">
      <w:pPr>
        <w:pStyle w:val="Ttulo1"/>
        <w:rPr>
          <w:lang w:val="es-ES"/>
        </w:rPr>
      </w:pPr>
      <w:bookmarkStart w:id="12" w:name="_Toc225845984"/>
      <w:bookmarkStart w:id="13" w:name="_Toc225846067"/>
      <w:bookmarkStart w:id="14" w:name="_Toc1923011607"/>
      <w:r w:rsidRPr="16F44784">
        <w:rPr>
          <w:lang w:val="es-ES"/>
        </w:rPr>
        <w:lastRenderedPageBreak/>
        <w:t xml:space="preserve">Análisis de </w:t>
      </w:r>
      <w:bookmarkStart w:id="15" w:name="_Toc229145821"/>
      <w:r w:rsidR="0762532A" w:rsidRPr="16F44784">
        <w:rPr>
          <w:lang w:val="es-ES"/>
        </w:rPr>
        <w:t>Contexto Internacional</w:t>
      </w:r>
      <w:bookmarkEnd w:id="12"/>
      <w:bookmarkEnd w:id="13"/>
      <w:bookmarkEnd w:id="14"/>
      <w:bookmarkEnd w:id="15"/>
    </w:p>
    <w:p w14:paraId="346698B3" w14:textId="77777777" w:rsidR="0007388E" w:rsidRPr="008D7F27" w:rsidRDefault="0007388E" w:rsidP="00537988">
      <w:pPr>
        <w:rPr>
          <w:lang w:val="es-ES"/>
        </w:rPr>
      </w:pPr>
      <w:r w:rsidRPr="008D7F27">
        <w:rPr>
          <w:lang w:val="es-ES"/>
        </w:rPr>
        <w:t>Para el análisis del contexto internacional se revisaron 20 países y la Unión Europea, a partir de fichas elaboradas para cada caso</w:t>
      </w:r>
      <w:r w:rsidR="00DE7897" w:rsidRPr="008D7F27">
        <w:rPr>
          <w:lang w:val="es-ES"/>
        </w:rPr>
        <w:t>,</w:t>
      </w:r>
      <w:r w:rsidRPr="008D7F27">
        <w:rPr>
          <w:lang w:val="es-ES"/>
        </w:rPr>
        <w:t xml:space="preserve"> </w:t>
      </w:r>
      <w:r w:rsidR="00DE7897" w:rsidRPr="008D7F27">
        <w:rPr>
          <w:lang w:val="es-ES"/>
        </w:rPr>
        <w:t xml:space="preserve">en donde </w:t>
      </w:r>
      <w:r w:rsidRPr="008D7F27">
        <w:rPr>
          <w:lang w:val="es-ES"/>
        </w:rPr>
        <w:t xml:space="preserve">se recopiló información relacionada con: i) los conceptos adoptados; ii) el enfoque de definición de dichos conceptos; iii) los criterios y variables empleados para la determinación de minerales; iv) las metodologías aplicadas; y v) los listados </w:t>
      </w:r>
      <w:r w:rsidR="008B055D" w:rsidRPr="008D7F27">
        <w:rPr>
          <w:lang w:val="es-ES"/>
        </w:rPr>
        <w:t xml:space="preserve">de minerales </w:t>
      </w:r>
      <w:r w:rsidRPr="008D7F27">
        <w:rPr>
          <w:lang w:val="es-ES"/>
        </w:rPr>
        <w:t>acogidos por cada país</w:t>
      </w:r>
      <w:r w:rsidR="008B055D" w:rsidRPr="008D7F27">
        <w:rPr>
          <w:lang w:val="es-ES"/>
        </w:rPr>
        <w:t xml:space="preserve"> y la UE</w:t>
      </w:r>
      <w:r w:rsidRPr="008D7F27">
        <w:rPr>
          <w:lang w:val="es-ES"/>
        </w:rPr>
        <w:t>.</w:t>
      </w:r>
    </w:p>
    <w:p w14:paraId="5EFCC89E" w14:textId="4F346884" w:rsidR="0007388E" w:rsidRPr="008D7F27" w:rsidRDefault="008B055D" w:rsidP="00537988">
      <w:pPr>
        <w:rPr>
          <w:lang w:val="es-ES"/>
        </w:rPr>
      </w:pPr>
      <w:r w:rsidRPr="002242D5">
        <w:rPr>
          <w:lang w:val="es-ES"/>
        </w:rPr>
        <w:t xml:space="preserve">Considerando que las fichas elaboradas cuentan con </w:t>
      </w:r>
      <w:r w:rsidR="0007388E" w:rsidRPr="002242D5">
        <w:rPr>
          <w:lang w:val="es-ES"/>
        </w:rPr>
        <w:t>gran</w:t>
      </w:r>
      <w:r w:rsidR="005C4E73" w:rsidRPr="002242D5">
        <w:rPr>
          <w:lang w:val="es-ES"/>
        </w:rPr>
        <w:t xml:space="preserve"> cantidad de</w:t>
      </w:r>
      <w:r w:rsidR="0007388E" w:rsidRPr="002242D5">
        <w:rPr>
          <w:lang w:val="es-ES"/>
        </w:rPr>
        <w:t xml:space="preserve"> información, </w:t>
      </w:r>
      <w:r w:rsidRPr="002242D5">
        <w:rPr>
          <w:lang w:val="es-ES"/>
        </w:rPr>
        <w:t xml:space="preserve">las mismas se incorporan al presente documento como </w:t>
      </w:r>
      <w:r w:rsidRPr="00AB0A57">
        <w:rPr>
          <w:i/>
          <w:iCs/>
          <w:lang w:val="es-ES"/>
        </w:rPr>
        <w:t xml:space="preserve">Anexo 1. Fichas </w:t>
      </w:r>
      <w:r w:rsidR="00F40DF6">
        <w:rPr>
          <w:i/>
          <w:iCs/>
          <w:lang w:val="es-ES"/>
        </w:rPr>
        <w:t>de e</w:t>
      </w:r>
      <w:r w:rsidRPr="00AB0A57">
        <w:rPr>
          <w:i/>
          <w:iCs/>
          <w:lang w:val="es-ES"/>
        </w:rPr>
        <w:t>xperiencias internacionales</w:t>
      </w:r>
      <w:r w:rsidRPr="002242D5">
        <w:rPr>
          <w:lang w:val="es-ES"/>
        </w:rPr>
        <w:t xml:space="preserve"> y </w:t>
      </w:r>
      <w:r w:rsidRPr="00AB0A57">
        <w:rPr>
          <w:i/>
          <w:iCs/>
          <w:lang w:val="es-ES"/>
        </w:rPr>
        <w:t xml:space="preserve">Anexo 2. </w:t>
      </w:r>
      <w:r w:rsidR="00EA7F2E">
        <w:rPr>
          <w:i/>
          <w:iCs/>
          <w:lang w:val="es-ES"/>
        </w:rPr>
        <w:t>Recurrencia</w:t>
      </w:r>
      <w:r w:rsidRPr="00AB0A57">
        <w:rPr>
          <w:i/>
          <w:iCs/>
          <w:lang w:val="es-ES"/>
        </w:rPr>
        <w:t>s conceptuales</w:t>
      </w:r>
      <w:r w:rsidRPr="002242D5">
        <w:rPr>
          <w:lang w:val="es-ES"/>
        </w:rPr>
        <w:t xml:space="preserve">. Por lo </w:t>
      </w:r>
      <w:r w:rsidR="008D7F27" w:rsidRPr="002242D5">
        <w:rPr>
          <w:lang w:val="es-ES"/>
        </w:rPr>
        <w:t>anterior, en</w:t>
      </w:r>
      <w:r w:rsidR="0007388E" w:rsidRPr="002242D5">
        <w:rPr>
          <w:lang w:val="es-ES"/>
        </w:rPr>
        <w:t xml:space="preserve"> este capítulo se presenta el análisis comparativo </w:t>
      </w:r>
      <w:r w:rsidRPr="002242D5">
        <w:rPr>
          <w:lang w:val="es-ES"/>
        </w:rPr>
        <w:t>de la información de las fichas</w:t>
      </w:r>
      <w:r w:rsidR="0007388E" w:rsidRPr="002242D5">
        <w:rPr>
          <w:lang w:val="es-ES"/>
        </w:rPr>
        <w:t xml:space="preserve">, </w:t>
      </w:r>
      <w:r w:rsidRPr="002242D5">
        <w:rPr>
          <w:lang w:val="es-ES"/>
        </w:rPr>
        <w:t>mediante</w:t>
      </w:r>
      <w:r w:rsidR="0007388E" w:rsidRPr="002242D5">
        <w:rPr>
          <w:lang w:val="es-ES"/>
        </w:rPr>
        <w:t xml:space="preserve"> matrices y síntesis temáticas.</w:t>
      </w:r>
      <w:r w:rsidR="00106417" w:rsidRPr="002242D5">
        <w:rPr>
          <w:lang w:val="es-ES"/>
        </w:rPr>
        <w:t xml:space="preserve"> </w:t>
      </w:r>
      <w:r w:rsidRPr="002242D5">
        <w:rPr>
          <w:lang w:val="es-ES"/>
        </w:rPr>
        <w:t>El</w:t>
      </w:r>
      <w:r w:rsidR="00106417" w:rsidRPr="002242D5">
        <w:rPr>
          <w:lang w:val="es-ES"/>
        </w:rPr>
        <w:t xml:space="preserve"> ejercicio de agrupación de variables conceptuales y de conteo de </w:t>
      </w:r>
      <w:r w:rsidR="00EA7F2E">
        <w:rPr>
          <w:lang w:val="es-ES"/>
        </w:rPr>
        <w:t>Recurrencia</w:t>
      </w:r>
      <w:r w:rsidR="00106417" w:rsidRPr="002242D5">
        <w:rPr>
          <w:lang w:val="es-ES"/>
        </w:rPr>
        <w:t>s</w:t>
      </w:r>
      <w:r w:rsidRPr="002242D5">
        <w:rPr>
          <w:lang w:val="es-ES"/>
        </w:rPr>
        <w:t>, se desarrolla en detalle</w:t>
      </w:r>
      <w:r w:rsidR="00106417" w:rsidRPr="002242D5">
        <w:rPr>
          <w:lang w:val="es-ES"/>
        </w:rPr>
        <w:t xml:space="preserve"> en el </w:t>
      </w:r>
      <w:r w:rsidRPr="002242D5">
        <w:rPr>
          <w:i/>
          <w:lang w:val="es-ES"/>
        </w:rPr>
        <w:t xml:space="preserve">Anexo 2. </w:t>
      </w:r>
      <w:r w:rsidR="00EA7F2E">
        <w:rPr>
          <w:i/>
          <w:lang w:val="es-ES"/>
        </w:rPr>
        <w:t>Recurrencia</w:t>
      </w:r>
      <w:r w:rsidRPr="002242D5">
        <w:rPr>
          <w:i/>
          <w:lang w:val="es-ES"/>
        </w:rPr>
        <w:t>s conceptuales</w:t>
      </w:r>
      <w:r w:rsidR="00106417" w:rsidRPr="002242D5">
        <w:rPr>
          <w:lang w:val="es-ES"/>
        </w:rPr>
        <w:t xml:space="preserve">, donde se </w:t>
      </w:r>
      <w:r w:rsidR="00991DA4">
        <w:rPr>
          <w:lang w:val="es-ES"/>
        </w:rPr>
        <w:t>refleja</w:t>
      </w:r>
      <w:r w:rsidR="00106417" w:rsidRPr="002242D5">
        <w:rPr>
          <w:lang w:val="es-ES"/>
        </w:rPr>
        <w:t xml:space="preserve"> la trazabilidad </w:t>
      </w:r>
      <w:r w:rsidR="004211DC" w:rsidRPr="002242D5">
        <w:rPr>
          <w:lang w:val="es-ES"/>
        </w:rPr>
        <w:t>de</w:t>
      </w:r>
      <w:r w:rsidR="00991DA4">
        <w:rPr>
          <w:lang w:val="es-ES"/>
        </w:rPr>
        <w:t>l análisis y resultados presentados en los siguientes subcapítulos 4.1</w:t>
      </w:r>
      <w:r w:rsidR="00106417" w:rsidRPr="002242D5">
        <w:rPr>
          <w:lang w:val="es-ES"/>
        </w:rPr>
        <w:t>.</w:t>
      </w:r>
      <w:r w:rsidR="00991DA4">
        <w:rPr>
          <w:lang w:val="es-ES"/>
        </w:rPr>
        <w:t xml:space="preserve"> y 4.2.</w:t>
      </w:r>
    </w:p>
    <w:p w14:paraId="22A94977" w14:textId="77777777" w:rsidR="00260E34" w:rsidRPr="008D7F27" w:rsidRDefault="004211DC" w:rsidP="00537988">
      <w:pPr>
        <w:rPr>
          <w:lang w:val="es-ES"/>
        </w:rPr>
      </w:pPr>
      <w:r w:rsidRPr="008D7F27">
        <w:rPr>
          <w:lang w:val="es-ES"/>
        </w:rPr>
        <w:t xml:space="preserve">Para realizar el análisis comparativo se agruparon los países en dos bloques, acorde con </w:t>
      </w:r>
      <w:r w:rsidR="0007388E" w:rsidRPr="008D7F27">
        <w:rPr>
          <w:lang w:val="es-ES"/>
        </w:rPr>
        <w:t>la categorización del Banco Mundial</w:t>
      </w:r>
      <w:r w:rsidR="00483CF7" w:rsidRPr="008D7F27">
        <w:rPr>
          <w:rStyle w:val="Refdenotaalpie"/>
          <w:lang w:val="es-ES"/>
        </w:rPr>
        <w:footnoteReference w:id="5"/>
      </w:r>
      <w:r w:rsidR="0007388E" w:rsidRPr="008D7F27">
        <w:rPr>
          <w:lang w:val="es-ES"/>
        </w:rPr>
        <w:t>: i) economías de ingresos medios; y ii) economías de ingresos altos. A partir de esta agrupación, la comparación se desarroll</w:t>
      </w:r>
      <w:r w:rsidR="00483CF7" w:rsidRPr="008D7F27">
        <w:rPr>
          <w:lang w:val="es-ES"/>
        </w:rPr>
        <w:t>a</w:t>
      </w:r>
      <w:r w:rsidR="0007388E" w:rsidRPr="008D7F27">
        <w:rPr>
          <w:lang w:val="es-ES"/>
        </w:rPr>
        <w:t xml:space="preserve"> con énfasis en dos aspectos: i) conceptos adoptados y </w:t>
      </w:r>
      <w:r w:rsidR="003A2623" w:rsidRPr="008D7F27">
        <w:rPr>
          <w:lang w:val="es-ES"/>
        </w:rPr>
        <w:t xml:space="preserve">ii) </w:t>
      </w:r>
      <w:r w:rsidR="0007388E" w:rsidRPr="008D7F27">
        <w:rPr>
          <w:lang w:val="es-ES"/>
        </w:rPr>
        <w:t>listados de minerales críticos y/o estratégicos</w:t>
      </w:r>
      <w:r w:rsidR="00260E34" w:rsidRPr="008D7F27">
        <w:rPr>
          <w:lang w:val="es-ES"/>
        </w:rPr>
        <w:t>.</w:t>
      </w:r>
    </w:p>
    <w:p w14:paraId="53741B91" w14:textId="77777777" w:rsidR="0007388E" w:rsidRPr="008D7F27" w:rsidRDefault="0007388E" w:rsidP="00537988">
      <w:pPr>
        <w:rPr>
          <w:lang w:val="es-ES"/>
        </w:rPr>
      </w:pPr>
      <w:r w:rsidRPr="008D7F27">
        <w:rPr>
          <w:lang w:val="es-ES"/>
        </w:rPr>
        <w:t xml:space="preserve">Con </w:t>
      </w:r>
      <w:r w:rsidR="007D2A04" w:rsidRPr="008D7F27">
        <w:rPr>
          <w:lang w:val="es-ES"/>
        </w:rPr>
        <w:t xml:space="preserve">lo anterior, se </w:t>
      </w:r>
      <w:r w:rsidRPr="008D7F27">
        <w:rPr>
          <w:lang w:val="es-ES"/>
        </w:rPr>
        <w:t>identificar</w:t>
      </w:r>
      <w:r w:rsidR="007D2A04" w:rsidRPr="008D7F27">
        <w:rPr>
          <w:lang w:val="es-ES"/>
        </w:rPr>
        <w:t>on</w:t>
      </w:r>
      <w:r w:rsidRPr="008D7F27">
        <w:rPr>
          <w:lang w:val="es-ES"/>
        </w:rPr>
        <w:t xml:space="preserve"> convergencias, diferencias y tendencias a nivel internacional, con el propósito de extraer insumos que orienten la formulación de resultados analíticos y recomendaciones de lineamientos para Colombia, en armonía con las prácticas y enfoques observados en el contexto global.</w:t>
      </w:r>
    </w:p>
    <w:p w14:paraId="28527281" w14:textId="77777777" w:rsidR="00C52A27" w:rsidRPr="008D7F27" w:rsidRDefault="56CD741A" w:rsidP="00907C68">
      <w:pPr>
        <w:pStyle w:val="Ttulo2"/>
        <w:rPr>
          <w:lang w:val="es-ES"/>
        </w:rPr>
      </w:pPr>
      <w:bookmarkStart w:id="16" w:name="_Toc229145822"/>
      <w:bookmarkStart w:id="17" w:name="_Toc514884639"/>
      <w:r w:rsidRPr="16F44784">
        <w:rPr>
          <w:lang w:val="es-ES"/>
        </w:rPr>
        <w:t>Conceptos adoptados</w:t>
      </w:r>
      <w:bookmarkEnd w:id="16"/>
      <w:bookmarkEnd w:id="17"/>
    </w:p>
    <w:p w14:paraId="7DFF76C2" w14:textId="05D1C69C" w:rsidR="00E04026" w:rsidRPr="008D7F27" w:rsidRDefault="3495F27F" w:rsidP="00537988">
      <w:pPr>
        <w:rPr>
          <w:lang w:val="es-ES"/>
        </w:rPr>
      </w:pPr>
      <w:r w:rsidRPr="0EFAC22F">
        <w:rPr>
          <w:lang w:val="es-ES"/>
        </w:rPr>
        <w:t>En la información consulta</w:t>
      </w:r>
      <w:r w:rsidR="09985D62" w:rsidRPr="0EFAC22F">
        <w:rPr>
          <w:lang w:val="es-ES"/>
        </w:rPr>
        <w:t>da</w:t>
      </w:r>
      <w:r w:rsidRPr="0EFAC22F">
        <w:rPr>
          <w:lang w:val="es-ES"/>
        </w:rPr>
        <w:t xml:space="preserve"> de los diferentes </w:t>
      </w:r>
      <w:r w:rsidR="70CA66E9" w:rsidRPr="0EFAC22F">
        <w:rPr>
          <w:lang w:val="es-ES"/>
        </w:rPr>
        <w:t xml:space="preserve">casos </w:t>
      </w:r>
      <w:r w:rsidRPr="0EFAC22F">
        <w:rPr>
          <w:lang w:val="es-ES"/>
        </w:rPr>
        <w:t xml:space="preserve">seleccionados, se evidencia </w:t>
      </w:r>
      <w:r w:rsidR="3FD6F863" w:rsidRPr="0EFAC22F">
        <w:rPr>
          <w:lang w:val="es-ES"/>
        </w:rPr>
        <w:t>que la adopción de los conceptos de minerales críticos y minerales estratégicos no responde a un patrón uniforme</w:t>
      </w:r>
      <w:r w:rsidRPr="0EFAC22F">
        <w:rPr>
          <w:lang w:val="es-ES"/>
        </w:rPr>
        <w:t>.</w:t>
      </w:r>
      <w:r w:rsidR="3FD6F863" w:rsidRPr="0EFAC22F">
        <w:rPr>
          <w:lang w:val="es-ES"/>
        </w:rPr>
        <w:t xml:space="preserve"> Por el contrario, se observan diferencias tanto en la denominación de tales conceptos como en los </w:t>
      </w:r>
      <w:r w:rsidRPr="0EFAC22F">
        <w:rPr>
          <w:lang w:val="es-ES"/>
        </w:rPr>
        <w:t xml:space="preserve">factores </w:t>
      </w:r>
      <w:r w:rsidR="3FD6F863" w:rsidRPr="0EFAC22F">
        <w:rPr>
          <w:lang w:val="es-ES"/>
        </w:rPr>
        <w:t xml:space="preserve">que orientan su definición, </w:t>
      </w:r>
      <w:r w:rsidRPr="0EFAC22F">
        <w:rPr>
          <w:lang w:val="es-ES"/>
        </w:rPr>
        <w:t xml:space="preserve">así como las variables consideradas, entre las cuales se destacan: la </w:t>
      </w:r>
      <w:r w:rsidR="3FD6F863" w:rsidRPr="0EFAC22F">
        <w:rPr>
          <w:lang w:val="es-ES"/>
        </w:rPr>
        <w:t xml:space="preserve">seguridad de </w:t>
      </w:r>
      <w:r w:rsidR="3FD6F863" w:rsidRPr="0EFAC22F">
        <w:rPr>
          <w:lang w:val="es-ES"/>
        </w:rPr>
        <w:lastRenderedPageBreak/>
        <w:t xml:space="preserve">suministro, la importancia económica, el desarrollo industrial, la transición energética </w:t>
      </w:r>
      <w:r w:rsidR="037BFED5" w:rsidRPr="0EFAC22F">
        <w:rPr>
          <w:lang w:val="es-ES"/>
        </w:rPr>
        <w:t>y prioridades</w:t>
      </w:r>
      <w:r w:rsidR="3FD6F863" w:rsidRPr="0EFAC22F">
        <w:rPr>
          <w:lang w:val="es-ES"/>
        </w:rPr>
        <w:t xml:space="preserve"> estratégicas nacionales</w:t>
      </w:r>
      <w:r w:rsidRPr="0EFAC22F">
        <w:rPr>
          <w:lang w:val="es-ES"/>
        </w:rPr>
        <w:t>, entre otros</w:t>
      </w:r>
      <w:r w:rsidR="3FD6F863" w:rsidRPr="0EFAC22F">
        <w:rPr>
          <w:lang w:val="es-ES"/>
        </w:rPr>
        <w:t>.</w:t>
      </w:r>
    </w:p>
    <w:p w14:paraId="4C7BDDA6" w14:textId="77777777" w:rsidR="0007388E" w:rsidRPr="008D7F27" w:rsidRDefault="008825DB" w:rsidP="00537988">
      <w:pPr>
        <w:rPr>
          <w:lang w:val="es-ES"/>
        </w:rPr>
      </w:pPr>
      <w:r w:rsidRPr="008D7F27">
        <w:rPr>
          <w:lang w:val="es-ES"/>
        </w:rPr>
        <w:t>En línea con lo anterior,</w:t>
      </w:r>
      <w:r w:rsidR="00483CF7" w:rsidRPr="008D7F27">
        <w:rPr>
          <w:lang w:val="es-ES"/>
        </w:rPr>
        <w:t xml:space="preserve"> </w:t>
      </w:r>
      <w:r w:rsidR="00E04026" w:rsidRPr="008D7F27">
        <w:rPr>
          <w:lang w:val="es-ES"/>
        </w:rPr>
        <w:t xml:space="preserve">se </w:t>
      </w:r>
      <w:r w:rsidRPr="008D7F27">
        <w:rPr>
          <w:lang w:val="es-ES"/>
        </w:rPr>
        <w:t xml:space="preserve">realizó el </w:t>
      </w:r>
      <w:r w:rsidR="00E04026" w:rsidRPr="008D7F27">
        <w:rPr>
          <w:lang w:val="es-ES"/>
        </w:rPr>
        <w:t xml:space="preserve">análisis de los </w:t>
      </w:r>
      <w:r w:rsidRPr="008D7F27">
        <w:rPr>
          <w:lang w:val="es-ES"/>
        </w:rPr>
        <w:t>países agrupados acorde con la categorización del Banco Mundial (economías de ingresos medios y economías de ingresos altos)</w:t>
      </w:r>
      <w:r w:rsidR="00E04026" w:rsidRPr="008D7F27">
        <w:rPr>
          <w:lang w:val="es-ES"/>
        </w:rPr>
        <w:t xml:space="preserve">, con el propósito de comparar los enfoques conceptuales adoptados e identificar elementos comunes y diferenciales en la manera en que </w:t>
      </w:r>
      <w:r w:rsidR="0068772A" w:rsidRPr="008D7F27">
        <w:rPr>
          <w:lang w:val="es-ES"/>
        </w:rPr>
        <w:t xml:space="preserve">definen o determinan </w:t>
      </w:r>
      <w:r w:rsidR="00E04026" w:rsidRPr="008D7F27">
        <w:rPr>
          <w:lang w:val="es-ES"/>
        </w:rPr>
        <w:t>los minerales críticos y/o estratégicos.</w:t>
      </w:r>
    </w:p>
    <w:p w14:paraId="46F2F5CE" w14:textId="77777777" w:rsidR="00C52A27" w:rsidRPr="008D7F27" w:rsidRDefault="56CD741A" w:rsidP="00B6570E">
      <w:pPr>
        <w:pStyle w:val="Ttulo3"/>
        <w:rPr>
          <w:lang w:val="es-ES"/>
        </w:rPr>
      </w:pPr>
      <w:bookmarkStart w:id="18" w:name="_Toc229145823"/>
      <w:bookmarkStart w:id="19" w:name="_Toc317157166"/>
      <w:r w:rsidRPr="16F44784">
        <w:rPr>
          <w:lang w:val="es-ES"/>
        </w:rPr>
        <w:t>Economías de ingresos medios</w:t>
      </w:r>
      <w:bookmarkEnd w:id="18"/>
      <w:bookmarkEnd w:id="19"/>
    </w:p>
    <w:p w14:paraId="71CCCB21" w14:textId="77777777" w:rsidR="0007388E" w:rsidRPr="008D7F27" w:rsidRDefault="0068772A" w:rsidP="4E6E68D1">
      <w:pPr>
        <w:rPr>
          <w:lang w:val="es-ES"/>
        </w:rPr>
      </w:pPr>
      <w:r w:rsidRPr="008D7F27">
        <w:rPr>
          <w:lang w:val="es-ES"/>
        </w:rPr>
        <w:t>En esta categoría se incluye a:</w:t>
      </w:r>
      <w:r w:rsidR="0007388E" w:rsidRPr="008D7F27">
        <w:rPr>
          <w:lang w:val="es-ES"/>
        </w:rPr>
        <w:t xml:space="preserve"> Brasil, Chile, Argentina, Perú, Sudáfrica, Nigeria, Indonesia, Turquía, China e India, cuya </w:t>
      </w:r>
      <w:r w:rsidRPr="008D7F27">
        <w:rPr>
          <w:lang w:val="es-ES"/>
        </w:rPr>
        <w:t xml:space="preserve">información disponible </w:t>
      </w:r>
      <w:r w:rsidR="0007388E" w:rsidRPr="008D7F27">
        <w:rPr>
          <w:lang w:val="es-ES"/>
        </w:rPr>
        <w:t xml:space="preserve">permite </w:t>
      </w:r>
      <w:r w:rsidRPr="008D7F27">
        <w:rPr>
          <w:lang w:val="es-ES"/>
        </w:rPr>
        <w:t xml:space="preserve">identificar </w:t>
      </w:r>
      <w:r w:rsidR="0007388E" w:rsidRPr="008D7F27">
        <w:rPr>
          <w:lang w:val="es-ES"/>
        </w:rPr>
        <w:t xml:space="preserve">la forma en que estos países han abordado la definición de minerales críticos y/o estratégicos, así como los listados </w:t>
      </w:r>
      <w:r w:rsidRPr="008D7F27">
        <w:rPr>
          <w:lang w:val="es-ES"/>
        </w:rPr>
        <w:t xml:space="preserve">de minerales </w:t>
      </w:r>
      <w:r w:rsidR="0007388E" w:rsidRPr="008D7F27">
        <w:rPr>
          <w:lang w:val="es-ES"/>
        </w:rPr>
        <w:t>que han adoptado en función de sus prioridades y contextos nacionales.</w:t>
      </w:r>
    </w:p>
    <w:p w14:paraId="5899B563" w14:textId="77777777" w:rsidR="5CBAD876" w:rsidRPr="008D7F27" w:rsidRDefault="5CBAD876" w:rsidP="39B28450">
      <w:pPr>
        <w:pStyle w:val="Ttulo4"/>
        <w:rPr>
          <w:lang w:val="es-ES"/>
        </w:rPr>
      </w:pPr>
      <w:r w:rsidRPr="008D7F27">
        <w:rPr>
          <w:lang w:val="es-ES"/>
        </w:rPr>
        <w:t>Minerales críticos</w:t>
      </w:r>
    </w:p>
    <w:p w14:paraId="1BD06F4F" w14:textId="77777777" w:rsidR="5CBAD876" w:rsidRPr="008D7F27" w:rsidRDefault="0068772A" w:rsidP="39B28450">
      <w:pPr>
        <w:rPr>
          <w:color w:val="000000" w:themeColor="text1"/>
          <w:lang w:val="es-ES"/>
        </w:rPr>
      </w:pPr>
      <w:r w:rsidRPr="008D7F27">
        <w:rPr>
          <w:lang w:val="es-ES"/>
        </w:rPr>
        <w:t xml:space="preserve">Con la información disponible </w:t>
      </w:r>
      <w:r w:rsidR="00674CEA" w:rsidRPr="008D7F27">
        <w:rPr>
          <w:lang w:val="es-ES"/>
        </w:rPr>
        <w:t xml:space="preserve">de </w:t>
      </w:r>
      <w:r w:rsidRPr="008D7F27">
        <w:rPr>
          <w:lang w:val="es-ES"/>
        </w:rPr>
        <w:t xml:space="preserve">los países clasificados como </w:t>
      </w:r>
      <w:r w:rsidR="5CBAD876" w:rsidRPr="008D7F27">
        <w:rPr>
          <w:lang w:val="es-ES"/>
        </w:rPr>
        <w:t>economías de ingresos medios</w:t>
      </w:r>
      <w:r w:rsidRPr="008D7F27">
        <w:rPr>
          <w:lang w:val="es-ES"/>
        </w:rPr>
        <w:t>,</w:t>
      </w:r>
      <w:r w:rsidR="5CBAD876" w:rsidRPr="008D7F27">
        <w:rPr>
          <w:lang w:val="es-ES"/>
        </w:rPr>
        <w:t xml:space="preserve"> </w:t>
      </w:r>
      <w:r w:rsidRPr="008D7F27">
        <w:rPr>
          <w:lang w:val="es-ES"/>
        </w:rPr>
        <w:t>se identificaron las siguientes definiciones oficiales relacionadas con minerales críticos</w:t>
      </w:r>
      <w:r w:rsidR="5CBAD876" w:rsidRPr="008D7F27">
        <w:rPr>
          <w:lang w:val="es-ES"/>
        </w:rPr>
        <w:t xml:space="preserve"> en 6 de </w:t>
      </w:r>
      <w:r w:rsidRPr="008D7F27">
        <w:rPr>
          <w:lang w:val="es-ES"/>
        </w:rPr>
        <w:t>las</w:t>
      </w:r>
      <w:r w:rsidR="5CBAD876" w:rsidRPr="008D7F27">
        <w:rPr>
          <w:lang w:val="es-ES"/>
        </w:rPr>
        <w:t xml:space="preserve"> 10</w:t>
      </w:r>
      <w:r w:rsidR="00483CF7" w:rsidRPr="008D7F27">
        <w:rPr>
          <w:lang w:val="es-ES"/>
        </w:rPr>
        <w:t xml:space="preserve"> </w:t>
      </w:r>
      <w:r w:rsidR="5CBAD876" w:rsidRPr="008D7F27">
        <w:rPr>
          <w:lang w:val="es-ES"/>
        </w:rPr>
        <w:t>economías</w:t>
      </w:r>
      <w:r w:rsidRPr="008D7F27">
        <w:rPr>
          <w:lang w:val="es-ES"/>
        </w:rPr>
        <w:t xml:space="preserve"> </w:t>
      </w:r>
      <w:r w:rsidR="00674CEA" w:rsidRPr="008D7F27">
        <w:rPr>
          <w:lang w:val="es-ES"/>
        </w:rPr>
        <w:t>analizadas</w:t>
      </w:r>
      <w:r w:rsidR="5CBAD876" w:rsidRPr="008D7F27">
        <w:rPr>
          <w:lang w:val="es-ES"/>
        </w:rPr>
        <w:t xml:space="preserve">. A continuación, se presentan </w:t>
      </w:r>
      <w:r w:rsidR="00483CF7" w:rsidRPr="008D7F27">
        <w:rPr>
          <w:lang w:val="es-ES"/>
        </w:rPr>
        <w:t>los</w:t>
      </w:r>
      <w:r w:rsidRPr="008D7F27">
        <w:rPr>
          <w:lang w:val="es-ES"/>
        </w:rPr>
        <w:t xml:space="preserve"> conceptos relacionados</w:t>
      </w:r>
      <w:r w:rsidR="5CBAD876" w:rsidRPr="008D7F27">
        <w:rPr>
          <w:lang w:val="es-ES"/>
        </w:rPr>
        <w:t xml:space="preserve"> para cada caso:</w:t>
      </w:r>
    </w:p>
    <w:p w14:paraId="264AE319" w14:textId="77777777" w:rsidR="00DA6A81" w:rsidRPr="008D7F27" w:rsidRDefault="00D05FCB" w:rsidP="00D05FCB">
      <w:pPr>
        <w:pStyle w:val="Descripcin"/>
        <w:rPr>
          <w:lang w:val="es-ES"/>
        </w:rPr>
      </w:pPr>
      <w:r w:rsidRPr="008D7F27">
        <w:rPr>
          <w:lang w:val="es-ES"/>
        </w:rPr>
        <w:t xml:space="preserve">Tabla </w:t>
      </w:r>
      <w:r w:rsidRPr="008D7F27">
        <w:rPr>
          <w:lang w:val="es-ES"/>
        </w:rPr>
        <w:fldChar w:fldCharType="begin"/>
      </w:r>
      <w:r w:rsidRPr="008D7F27">
        <w:rPr>
          <w:lang w:val="es-ES"/>
        </w:rPr>
        <w:instrText xml:space="preserve"> SEQ Tabla \* ARABIC </w:instrText>
      </w:r>
      <w:r w:rsidRPr="008D7F27">
        <w:rPr>
          <w:lang w:val="es-ES"/>
        </w:rPr>
        <w:fldChar w:fldCharType="separate"/>
      </w:r>
      <w:r w:rsidR="000E754D">
        <w:rPr>
          <w:noProof/>
          <w:lang w:val="es-ES"/>
        </w:rPr>
        <w:t>2</w:t>
      </w:r>
      <w:r w:rsidRPr="008D7F27">
        <w:rPr>
          <w:lang w:val="es-ES"/>
        </w:rPr>
        <w:fldChar w:fldCharType="end"/>
      </w:r>
      <w:r w:rsidRPr="008D7F27">
        <w:rPr>
          <w:lang w:val="es-ES"/>
        </w:rPr>
        <w:t xml:space="preserve"> Concepto de minerales críticos en economías de ingresos medios.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992"/>
      </w:tblGrid>
      <w:tr w:rsidR="39B28450" w:rsidRPr="008D7F27" w14:paraId="7F12757E" w14:textId="77777777" w:rsidTr="00614B58">
        <w:trPr>
          <w:trHeight w:val="90"/>
          <w:jc w:val="center"/>
        </w:trPr>
        <w:tc>
          <w:tcPr>
            <w:tcW w:w="1170" w:type="dxa"/>
            <w:shd w:val="clear" w:color="auto" w:fill="F2F2F2" w:themeFill="background1" w:themeFillShade="F2"/>
            <w:tcMar>
              <w:left w:w="60" w:type="dxa"/>
              <w:right w:w="60" w:type="dxa"/>
            </w:tcMar>
            <w:vAlign w:val="center"/>
          </w:tcPr>
          <w:p w14:paraId="21F6EECE" w14:textId="77777777" w:rsidR="39B28450" w:rsidRPr="008D7F27" w:rsidRDefault="39B28450" w:rsidP="39B28450">
            <w:pPr>
              <w:jc w:val="center"/>
              <w:rPr>
                <w:color w:val="000000" w:themeColor="text1"/>
                <w:lang w:val="es-ES"/>
              </w:rPr>
            </w:pPr>
            <w:r w:rsidRPr="008D7F27">
              <w:rPr>
                <w:b/>
                <w:lang w:val="es-ES"/>
              </w:rPr>
              <w:t>País</w:t>
            </w:r>
          </w:p>
        </w:tc>
        <w:tc>
          <w:tcPr>
            <w:tcW w:w="8160" w:type="dxa"/>
            <w:shd w:val="clear" w:color="auto" w:fill="F2F2F2" w:themeFill="background1" w:themeFillShade="F2"/>
            <w:tcMar>
              <w:left w:w="60" w:type="dxa"/>
              <w:right w:w="60" w:type="dxa"/>
            </w:tcMar>
            <w:vAlign w:val="center"/>
          </w:tcPr>
          <w:p w14:paraId="19341B92" w14:textId="77777777" w:rsidR="39B28450" w:rsidRPr="008D7F27" w:rsidRDefault="39B28450" w:rsidP="39B28450">
            <w:pPr>
              <w:jc w:val="center"/>
              <w:rPr>
                <w:color w:val="000000" w:themeColor="text1"/>
                <w:lang w:val="es-ES"/>
              </w:rPr>
            </w:pPr>
            <w:r w:rsidRPr="008D7F27">
              <w:rPr>
                <w:b/>
                <w:lang w:val="es-ES"/>
              </w:rPr>
              <w:t>Concepto de minerales críticos adoptado</w:t>
            </w:r>
          </w:p>
        </w:tc>
      </w:tr>
      <w:tr w:rsidR="39B28450" w:rsidRPr="008D7F27" w14:paraId="7C9F7DD7" w14:textId="77777777" w:rsidTr="00614B58">
        <w:trPr>
          <w:trHeight w:val="780"/>
          <w:jc w:val="center"/>
        </w:trPr>
        <w:tc>
          <w:tcPr>
            <w:tcW w:w="1170" w:type="dxa"/>
            <w:tcMar>
              <w:left w:w="60" w:type="dxa"/>
              <w:right w:w="60" w:type="dxa"/>
            </w:tcMar>
            <w:vAlign w:val="center"/>
          </w:tcPr>
          <w:p w14:paraId="02327197" w14:textId="77777777" w:rsidR="39B28450" w:rsidRPr="008D7F27" w:rsidRDefault="39B28450" w:rsidP="39B28450">
            <w:pPr>
              <w:rPr>
                <w:color w:val="000000" w:themeColor="text1"/>
                <w:lang w:val="es-ES"/>
              </w:rPr>
            </w:pPr>
            <w:r w:rsidRPr="008D7F27">
              <w:rPr>
                <w:b/>
                <w:lang w:val="es-ES"/>
              </w:rPr>
              <w:t>Chile</w:t>
            </w:r>
          </w:p>
        </w:tc>
        <w:tc>
          <w:tcPr>
            <w:tcW w:w="8160" w:type="dxa"/>
            <w:tcMar>
              <w:left w:w="60" w:type="dxa"/>
              <w:right w:w="60" w:type="dxa"/>
            </w:tcMar>
          </w:tcPr>
          <w:p w14:paraId="643C6946" w14:textId="77777777" w:rsidR="00561428" w:rsidRDefault="00926833">
            <w:pPr>
              <w:rPr>
                <w:color w:val="000000" w:themeColor="text1"/>
                <w:lang w:val="es-ES"/>
              </w:rPr>
            </w:pPr>
            <w:r>
              <w:rPr>
                <w:lang w:val="es-ES"/>
              </w:rPr>
              <w:t xml:space="preserve">“la participación consolidada o potencial del país en el suministro global de aquel mineral; el reconocimiento de este como crítico por economías relevantes; y la identificación de oportunidades estratégicas para el desarrollo sostenible nacional que pueda tener dicho mineral, aun cuando este no forme parte de listados internacionales de minerales críticos.” </w:t>
            </w:r>
            <w:sdt>
              <w:sdtPr>
                <w:id w:val="421053486"/>
                <w:citation/>
              </w:sdtPr>
              <w:sdtContent>
                <w:r>
                  <w:fldChar w:fldCharType="begin"/>
                </w:r>
                <w:r>
                  <w:rPr>
                    <w:lang w:val="es-ES"/>
                  </w:rPr>
                  <w:instrText xml:space="preserve"> CITATION Gob25 \l 3082 </w:instrText>
                </w:r>
                <w:r>
                  <w:fldChar w:fldCharType="separate"/>
                </w:r>
                <w:r w:rsidR="00E55C2E">
                  <w:rPr>
                    <w:noProof/>
                    <w:lang w:val="es-ES"/>
                  </w:rPr>
                  <w:t>(Gobierno Digital, 2025)</w:t>
                </w:r>
                <w:r>
                  <w:fldChar w:fldCharType="end"/>
                </w:r>
              </w:sdtContent>
            </w:sdt>
          </w:p>
        </w:tc>
      </w:tr>
      <w:tr w:rsidR="39B28450" w:rsidRPr="008D7F27" w14:paraId="0AF321A5" w14:textId="77777777" w:rsidTr="00614B58">
        <w:trPr>
          <w:trHeight w:val="390"/>
          <w:jc w:val="center"/>
        </w:trPr>
        <w:tc>
          <w:tcPr>
            <w:tcW w:w="1170" w:type="dxa"/>
            <w:tcMar>
              <w:left w:w="60" w:type="dxa"/>
              <w:right w:w="60" w:type="dxa"/>
            </w:tcMar>
            <w:vAlign w:val="center"/>
          </w:tcPr>
          <w:p w14:paraId="0DABA907" w14:textId="77777777" w:rsidR="39B28450" w:rsidRPr="008D7F27" w:rsidRDefault="39B28450" w:rsidP="39B28450">
            <w:pPr>
              <w:rPr>
                <w:color w:val="000000" w:themeColor="text1"/>
                <w:lang w:val="es-ES"/>
              </w:rPr>
            </w:pPr>
            <w:r w:rsidRPr="008D7F27">
              <w:rPr>
                <w:b/>
                <w:lang w:val="es-ES"/>
              </w:rPr>
              <w:t>Argentina</w:t>
            </w:r>
          </w:p>
        </w:tc>
        <w:tc>
          <w:tcPr>
            <w:tcW w:w="8160" w:type="dxa"/>
            <w:tcMar>
              <w:left w:w="60" w:type="dxa"/>
              <w:right w:w="60" w:type="dxa"/>
            </w:tcMar>
          </w:tcPr>
          <w:p w14:paraId="0D80380E" w14:textId="77777777" w:rsidR="00561428" w:rsidRDefault="00926833">
            <w:pPr>
              <w:rPr>
                <w:color w:val="000000" w:themeColor="text1"/>
                <w:lang w:val="es-ES"/>
              </w:rPr>
            </w:pPr>
            <w:r>
              <w:rPr>
                <w:lang w:val="es-ES"/>
              </w:rPr>
              <w:t xml:space="preserve">“aquellos cuyo riesgo de escasez en su suministro y, por lo tanto, su consecuente impacto sobre la economía es mucho mayor que para cualquier otra materia prima.” </w:t>
            </w:r>
            <w:sdt>
              <w:sdtPr>
                <w:id w:val="840467811"/>
                <w:citation/>
              </w:sdtPr>
              <w:sdtContent>
                <w:r>
                  <w:fldChar w:fldCharType="begin"/>
                </w:r>
                <w:r>
                  <w:rPr>
                    <w:lang w:val="es-ES"/>
                  </w:rPr>
                  <w:instrText xml:space="preserve"> CITATION Zap21 \l 3082 </w:instrText>
                </w:r>
                <w:r>
                  <w:fldChar w:fldCharType="separate"/>
                </w:r>
                <w:r w:rsidR="00E55C2E">
                  <w:rPr>
                    <w:noProof/>
                    <w:lang w:val="es-ES"/>
                  </w:rPr>
                  <w:t>(Zappettini, 2021)</w:t>
                </w:r>
                <w:r>
                  <w:fldChar w:fldCharType="end"/>
                </w:r>
              </w:sdtContent>
            </w:sdt>
          </w:p>
        </w:tc>
      </w:tr>
      <w:tr w:rsidR="39B28450" w:rsidRPr="008D7F27" w14:paraId="638D3A81" w14:textId="77777777" w:rsidTr="00614B58">
        <w:trPr>
          <w:trHeight w:val="390"/>
          <w:jc w:val="center"/>
        </w:trPr>
        <w:tc>
          <w:tcPr>
            <w:tcW w:w="1170" w:type="dxa"/>
            <w:tcMar>
              <w:left w:w="60" w:type="dxa"/>
              <w:right w:w="60" w:type="dxa"/>
            </w:tcMar>
            <w:vAlign w:val="center"/>
          </w:tcPr>
          <w:p w14:paraId="2C5E5F08" w14:textId="77777777" w:rsidR="39B28450" w:rsidRPr="008D7F27" w:rsidRDefault="39B28450" w:rsidP="39B28450">
            <w:pPr>
              <w:rPr>
                <w:color w:val="000000" w:themeColor="text1"/>
                <w:lang w:val="es-ES"/>
              </w:rPr>
            </w:pPr>
            <w:r w:rsidRPr="008D7F27">
              <w:rPr>
                <w:b/>
                <w:lang w:val="es-ES"/>
              </w:rPr>
              <w:t>Sudáfrica</w:t>
            </w:r>
          </w:p>
        </w:tc>
        <w:tc>
          <w:tcPr>
            <w:tcW w:w="8160" w:type="dxa"/>
            <w:tcMar>
              <w:left w:w="60" w:type="dxa"/>
              <w:right w:w="60" w:type="dxa"/>
            </w:tcMar>
          </w:tcPr>
          <w:p w14:paraId="3B707033" w14:textId="77777777" w:rsidR="00561428" w:rsidRDefault="00926833">
            <w:pPr>
              <w:rPr>
                <w:color w:val="000000" w:themeColor="text1"/>
                <w:lang w:val="es-ES"/>
              </w:rPr>
            </w:pPr>
            <w:r>
              <w:rPr>
                <w:lang w:val="es-ES"/>
              </w:rPr>
              <w:t xml:space="preserve">“minerales esenciales para el desarrollo económico general, la creación de empleo, el avance industrial y la contribución a la seguridad nacional.” </w:t>
            </w:r>
            <w:sdt>
              <w:sdtPr>
                <w:id w:val="715328020"/>
                <w:citation/>
              </w:sdtPr>
              <w:sdtContent>
                <w:r>
                  <w:fldChar w:fldCharType="begin"/>
                </w:r>
                <w:r>
                  <w:rPr>
                    <w:lang w:val="es-ES"/>
                  </w:rPr>
                  <w:instrText xml:space="preserve"> CITATION Min \l 3082 </w:instrText>
                </w:r>
                <w:r>
                  <w:fldChar w:fldCharType="separate"/>
                </w:r>
                <w:r w:rsidR="00E55C2E">
                  <w:rPr>
                    <w:noProof/>
                    <w:lang w:val="es-ES"/>
                  </w:rPr>
                  <w:t>(Ministerio de recursos minerales y de petróleos, 2025)</w:t>
                </w:r>
                <w:r>
                  <w:fldChar w:fldCharType="end"/>
                </w:r>
              </w:sdtContent>
            </w:sdt>
          </w:p>
        </w:tc>
      </w:tr>
      <w:tr w:rsidR="39B28450" w:rsidRPr="008D7F27" w14:paraId="49ED5449" w14:textId="77777777" w:rsidTr="00614B58">
        <w:trPr>
          <w:trHeight w:val="690"/>
          <w:jc w:val="center"/>
        </w:trPr>
        <w:tc>
          <w:tcPr>
            <w:tcW w:w="1170" w:type="dxa"/>
            <w:tcMar>
              <w:left w:w="60" w:type="dxa"/>
              <w:right w:w="60" w:type="dxa"/>
            </w:tcMar>
            <w:vAlign w:val="center"/>
          </w:tcPr>
          <w:p w14:paraId="3C0A48DF" w14:textId="77777777" w:rsidR="39B28450" w:rsidRPr="008D7F27" w:rsidRDefault="39B28450" w:rsidP="39B28450">
            <w:pPr>
              <w:rPr>
                <w:color w:val="000000" w:themeColor="text1"/>
                <w:lang w:val="es-ES"/>
              </w:rPr>
            </w:pPr>
            <w:r w:rsidRPr="008D7F27">
              <w:rPr>
                <w:b/>
                <w:lang w:val="es-ES"/>
              </w:rPr>
              <w:t>Indonesia</w:t>
            </w:r>
          </w:p>
        </w:tc>
        <w:tc>
          <w:tcPr>
            <w:tcW w:w="8160" w:type="dxa"/>
            <w:tcMar>
              <w:left w:w="60" w:type="dxa"/>
              <w:right w:w="60" w:type="dxa"/>
            </w:tcMar>
          </w:tcPr>
          <w:p w14:paraId="719A5CF7" w14:textId="77777777" w:rsidR="00561428" w:rsidRDefault="00926833">
            <w:pPr>
              <w:rPr>
                <w:color w:val="000000" w:themeColor="text1"/>
                <w:lang w:val="es-ES"/>
              </w:rPr>
            </w:pPr>
            <w:r>
              <w:rPr>
                <w:lang w:val="es-ES"/>
              </w:rPr>
              <w:t xml:space="preserve">“se consideran minerales como ‘críticos’ si cumple con los siguientes cuatro criterios: a. Sirven como materia prima en industrias estratégicas nacionales; b. tienen valor para la economía, la defensa y seguridad nacional; c. representan un alto riesgo de abastecimiento; y </w:t>
            </w:r>
            <w:r>
              <w:rPr>
                <w:lang w:val="es-ES"/>
              </w:rPr>
              <w:lastRenderedPageBreak/>
              <w:t xml:space="preserve">d. no tienen sustitutos viables.” </w:t>
            </w:r>
            <w:sdt>
              <w:sdtPr>
                <w:id w:val="193305034"/>
                <w:citation/>
              </w:sdtPr>
              <w:sdtContent>
                <w:r>
                  <w:fldChar w:fldCharType="begin"/>
                </w:r>
                <w:r>
                  <w:rPr>
                    <w:lang w:val="es-ES"/>
                  </w:rPr>
                  <w:instrText xml:space="preserve"> CITATION Min23 \l 3082 </w:instrText>
                </w:r>
                <w:r>
                  <w:fldChar w:fldCharType="separate"/>
                </w:r>
                <w:r w:rsidR="00E55C2E">
                  <w:rPr>
                    <w:noProof/>
                    <w:lang w:val="es-ES"/>
                  </w:rPr>
                  <w:t>(Ministerio de Energía y Recursos Minerales, 2023)</w:t>
                </w:r>
                <w:r>
                  <w:fldChar w:fldCharType="end"/>
                </w:r>
              </w:sdtContent>
            </w:sdt>
          </w:p>
        </w:tc>
      </w:tr>
      <w:tr w:rsidR="39B28450" w:rsidRPr="008D7F27" w14:paraId="7C408872" w14:textId="77777777" w:rsidTr="00614B58">
        <w:trPr>
          <w:trHeight w:val="585"/>
          <w:jc w:val="center"/>
        </w:trPr>
        <w:tc>
          <w:tcPr>
            <w:tcW w:w="1170" w:type="dxa"/>
            <w:tcMar>
              <w:left w:w="60" w:type="dxa"/>
              <w:right w:w="60" w:type="dxa"/>
            </w:tcMar>
            <w:vAlign w:val="center"/>
          </w:tcPr>
          <w:p w14:paraId="30C74538" w14:textId="77777777" w:rsidR="39B28450" w:rsidRPr="008D7F27" w:rsidRDefault="39B28450" w:rsidP="39B28450">
            <w:pPr>
              <w:rPr>
                <w:color w:val="000000" w:themeColor="text1"/>
                <w:lang w:val="es-ES"/>
              </w:rPr>
            </w:pPr>
            <w:r w:rsidRPr="008D7F27">
              <w:rPr>
                <w:b/>
                <w:lang w:val="es-ES"/>
              </w:rPr>
              <w:lastRenderedPageBreak/>
              <w:t>Turquía</w:t>
            </w:r>
          </w:p>
        </w:tc>
        <w:tc>
          <w:tcPr>
            <w:tcW w:w="8160" w:type="dxa"/>
            <w:tcMar>
              <w:left w:w="60" w:type="dxa"/>
              <w:right w:w="60" w:type="dxa"/>
            </w:tcMar>
          </w:tcPr>
          <w:p w14:paraId="67B740DF" w14:textId="77777777" w:rsidR="00561428" w:rsidRDefault="00926833">
            <w:pPr>
              <w:rPr>
                <w:color w:val="000000" w:themeColor="text1"/>
                <w:lang w:val="es-ES"/>
              </w:rPr>
            </w:pPr>
            <w:r>
              <w:rPr>
                <w:lang w:val="es-ES"/>
              </w:rPr>
              <w:t xml:space="preserve">“Minerales que son uno de los insumos básicos de la producción industrial y que conllevan un alto riesgo de suministro, donde pueden surgir graves problemas económicos o vulnerabilidad de la seguridad del suministro en caso de interrupción del suministro o grandes aumentos de precios.” </w:t>
            </w:r>
            <w:sdt>
              <w:sdtPr>
                <w:id w:val="992418398"/>
                <w:citation/>
              </w:sdtPr>
              <w:sdtContent>
                <w:r>
                  <w:fldChar w:fldCharType="begin"/>
                </w:r>
                <w:r>
                  <w:rPr>
                    <w:lang w:val="es-ES"/>
                  </w:rPr>
                  <w:instrText xml:space="preserve"> CITATION Tür25 \l 3082 </w:instrText>
                </w:r>
                <w:r>
                  <w:fldChar w:fldCharType="separate"/>
                </w:r>
                <w:r w:rsidR="00E55C2E">
                  <w:rPr>
                    <w:noProof/>
                    <w:lang w:val="es-ES"/>
                  </w:rPr>
                  <w:t>(Türkiye Critical Minerals Initiative, 2025)</w:t>
                </w:r>
                <w:r>
                  <w:fldChar w:fldCharType="end"/>
                </w:r>
              </w:sdtContent>
            </w:sdt>
          </w:p>
        </w:tc>
      </w:tr>
      <w:tr w:rsidR="39B28450" w:rsidRPr="008D7F27" w14:paraId="01372D98" w14:textId="77777777" w:rsidTr="00614B58">
        <w:trPr>
          <w:trHeight w:val="495"/>
          <w:jc w:val="center"/>
        </w:trPr>
        <w:tc>
          <w:tcPr>
            <w:tcW w:w="1170" w:type="dxa"/>
            <w:tcMar>
              <w:left w:w="60" w:type="dxa"/>
              <w:right w:w="60" w:type="dxa"/>
            </w:tcMar>
            <w:vAlign w:val="center"/>
          </w:tcPr>
          <w:p w14:paraId="52BF6AA9" w14:textId="77777777" w:rsidR="39B28450" w:rsidRPr="008D7F27" w:rsidRDefault="39B28450" w:rsidP="39B28450">
            <w:pPr>
              <w:rPr>
                <w:color w:val="000000" w:themeColor="text1"/>
                <w:lang w:val="es-ES"/>
              </w:rPr>
            </w:pPr>
            <w:r w:rsidRPr="008D7F27">
              <w:rPr>
                <w:b/>
                <w:lang w:val="es-ES"/>
              </w:rPr>
              <w:t>India</w:t>
            </w:r>
          </w:p>
        </w:tc>
        <w:tc>
          <w:tcPr>
            <w:tcW w:w="8160" w:type="dxa"/>
            <w:tcMar>
              <w:left w:w="60" w:type="dxa"/>
              <w:right w:w="60" w:type="dxa"/>
            </w:tcMar>
          </w:tcPr>
          <w:p w14:paraId="146BA8CB" w14:textId="77777777" w:rsidR="00561428" w:rsidRDefault="00926833">
            <w:pPr>
              <w:rPr>
                <w:color w:val="000000" w:themeColor="text1"/>
                <w:lang w:val="es-ES"/>
              </w:rPr>
            </w:pPr>
            <w:r>
              <w:rPr>
                <w:lang w:val="es-ES"/>
              </w:rPr>
              <w:t xml:space="preserve">“esenciales para el desarrollo económico y la seguridad nacional de un país, y su falta de disponibilidad o concentración en unas pocas ubicaciones geográficas puede generar vulnerabilidades en la cadena de suministro.” </w:t>
            </w:r>
            <w:sdt>
              <w:sdtPr>
                <w:id w:val="582416314"/>
                <w:citation/>
              </w:sdtPr>
              <w:sdtContent>
                <w:r>
                  <w:fldChar w:fldCharType="begin"/>
                </w:r>
                <w:r>
                  <w:rPr>
                    <w:lang w:val="es-ES"/>
                  </w:rPr>
                  <w:instrText xml:space="preserve"> CITATION InMin23 \l 3082 </w:instrText>
                </w:r>
                <w:r>
                  <w:fldChar w:fldCharType="separate"/>
                </w:r>
                <w:r w:rsidR="00E55C2E">
                  <w:rPr>
                    <w:noProof/>
                    <w:lang w:val="es-ES"/>
                  </w:rPr>
                  <w:t>(Ministerio de Minas de India, 2023)</w:t>
                </w:r>
                <w:r>
                  <w:fldChar w:fldCharType="end"/>
                </w:r>
              </w:sdtContent>
            </w:sdt>
          </w:p>
        </w:tc>
      </w:tr>
      <w:tr w:rsidR="39B28450" w:rsidRPr="008D7F27" w14:paraId="0B37346B" w14:textId="77777777" w:rsidTr="00614B58">
        <w:trPr>
          <w:trHeight w:val="495"/>
          <w:jc w:val="center"/>
        </w:trPr>
        <w:tc>
          <w:tcPr>
            <w:tcW w:w="1170" w:type="dxa"/>
            <w:tcMar>
              <w:left w:w="60" w:type="dxa"/>
              <w:right w:w="60" w:type="dxa"/>
            </w:tcMar>
            <w:vAlign w:val="center"/>
          </w:tcPr>
          <w:p w14:paraId="3CDCDC63" w14:textId="77777777" w:rsidR="39B28450" w:rsidRPr="008D7F27" w:rsidRDefault="39B28450" w:rsidP="39B28450">
            <w:pPr>
              <w:rPr>
                <w:color w:val="000000" w:themeColor="text1"/>
                <w:lang w:val="es-ES"/>
              </w:rPr>
            </w:pPr>
            <w:r w:rsidRPr="008D7F27">
              <w:rPr>
                <w:b/>
                <w:lang w:val="es-ES"/>
              </w:rPr>
              <w:t>Brasil</w:t>
            </w:r>
          </w:p>
        </w:tc>
        <w:tc>
          <w:tcPr>
            <w:tcW w:w="8160" w:type="dxa"/>
            <w:tcMar>
              <w:left w:w="60" w:type="dxa"/>
              <w:right w:w="60" w:type="dxa"/>
            </w:tcMar>
          </w:tcPr>
          <w:p w14:paraId="7FFF9655" w14:textId="77777777" w:rsidR="00561428" w:rsidRDefault="00926833">
            <w:pPr>
              <w:rPr>
                <w:color w:val="000000" w:themeColor="text1"/>
                <w:lang w:val="es-ES"/>
              </w:rPr>
            </w:pPr>
            <w:r>
              <w:rPr>
                <w:lang w:val="es-ES"/>
              </w:rPr>
              <w:t xml:space="preserve">Brasil, en el Decreto No. 10.657 de 2021, no define los minerales críticos como parte de la política intrínseca del Estado. </w:t>
            </w:r>
            <w:sdt>
              <w:sdtPr>
                <w:id w:val="644005878"/>
                <w:citation/>
              </w:sdtPr>
              <w:sdtContent>
                <w:r>
                  <w:fldChar w:fldCharType="begin"/>
                </w:r>
                <w:r>
                  <w:rPr>
                    <w:lang w:val="es-ES"/>
                  </w:rPr>
                  <w:instrText xml:space="preserve"> CITATION Bra24 \l 3082 </w:instrText>
                </w:r>
                <w:r>
                  <w:fldChar w:fldCharType="separate"/>
                </w:r>
                <w:r w:rsidR="00E55C2E">
                  <w:rPr>
                    <w:noProof/>
                    <w:lang w:val="es-ES"/>
                  </w:rPr>
                  <w:t>(Brasil. Presidência da República., 2024)</w:t>
                </w:r>
                <w:r>
                  <w:fldChar w:fldCharType="end"/>
                </w:r>
              </w:sdtContent>
            </w:sdt>
          </w:p>
        </w:tc>
      </w:tr>
      <w:tr w:rsidR="39B28450" w:rsidRPr="008D7F27" w14:paraId="3D30E8F7" w14:textId="77777777" w:rsidTr="00614B58">
        <w:trPr>
          <w:trHeight w:val="495"/>
          <w:jc w:val="center"/>
        </w:trPr>
        <w:tc>
          <w:tcPr>
            <w:tcW w:w="1170" w:type="dxa"/>
            <w:tcMar>
              <w:left w:w="60" w:type="dxa"/>
              <w:right w:w="60" w:type="dxa"/>
            </w:tcMar>
            <w:vAlign w:val="center"/>
          </w:tcPr>
          <w:p w14:paraId="5FE291CF" w14:textId="77777777" w:rsidR="39B28450" w:rsidRPr="008D7F27" w:rsidRDefault="39B28450" w:rsidP="39B28450">
            <w:pPr>
              <w:rPr>
                <w:color w:val="000000" w:themeColor="text1"/>
                <w:lang w:val="es-ES"/>
              </w:rPr>
            </w:pPr>
            <w:r w:rsidRPr="008D7F27">
              <w:rPr>
                <w:b/>
                <w:lang w:val="es-ES"/>
              </w:rPr>
              <w:t>Perú</w:t>
            </w:r>
          </w:p>
        </w:tc>
        <w:tc>
          <w:tcPr>
            <w:tcW w:w="8160" w:type="dxa"/>
            <w:tcMar>
              <w:left w:w="60" w:type="dxa"/>
              <w:right w:w="60" w:type="dxa"/>
            </w:tcMar>
          </w:tcPr>
          <w:p w14:paraId="1200A119" w14:textId="77777777" w:rsidR="00561428" w:rsidRDefault="00926833">
            <w:pPr>
              <w:rPr>
                <w:color w:val="000000" w:themeColor="text1"/>
                <w:lang w:val="es-ES"/>
              </w:rPr>
            </w:pPr>
            <w:r>
              <w:rPr>
                <w:lang w:val="es-ES"/>
              </w:rPr>
              <w:t xml:space="preserve">La información disponible indica que el tema se aborda “más que desde una definición única y consolidada en una norma general” y que “es necesario elaborar una lista nacional de minerales críticos”. </w:t>
            </w:r>
            <w:sdt>
              <w:sdtPr>
                <w:id w:val="230422439"/>
                <w:citation/>
              </w:sdtPr>
              <w:sdtContent>
                <w:r>
                  <w:fldChar w:fldCharType="begin"/>
                </w:r>
                <w:r>
                  <w:rPr>
                    <w:lang w:val="es-ES"/>
                  </w:rPr>
                  <w:instrText xml:space="preserve"> CITATION Min262 \l 3082 </w:instrText>
                </w:r>
                <w:r>
                  <w:fldChar w:fldCharType="separate"/>
                </w:r>
                <w:r w:rsidR="00E55C2E">
                  <w:rPr>
                    <w:noProof/>
                    <w:lang w:val="es-ES"/>
                  </w:rPr>
                  <w:t>(MINEM, 2026)</w:t>
                </w:r>
                <w:r>
                  <w:fldChar w:fldCharType="end"/>
                </w:r>
              </w:sdtContent>
            </w:sdt>
          </w:p>
        </w:tc>
      </w:tr>
      <w:tr w:rsidR="39B28450" w:rsidRPr="008D7F27" w14:paraId="47EB0F8D" w14:textId="77777777" w:rsidTr="00614B58">
        <w:trPr>
          <w:trHeight w:val="495"/>
          <w:jc w:val="center"/>
        </w:trPr>
        <w:tc>
          <w:tcPr>
            <w:tcW w:w="1170" w:type="dxa"/>
            <w:tcMar>
              <w:left w:w="60" w:type="dxa"/>
              <w:right w:w="60" w:type="dxa"/>
            </w:tcMar>
            <w:vAlign w:val="center"/>
          </w:tcPr>
          <w:p w14:paraId="18661E01" w14:textId="77777777" w:rsidR="39B28450" w:rsidRPr="008D7F27" w:rsidRDefault="39B28450" w:rsidP="39B28450">
            <w:pPr>
              <w:rPr>
                <w:color w:val="000000" w:themeColor="text1"/>
                <w:lang w:val="es-ES"/>
              </w:rPr>
            </w:pPr>
            <w:r w:rsidRPr="008D7F27">
              <w:rPr>
                <w:b/>
                <w:lang w:val="es-ES"/>
              </w:rPr>
              <w:t>Nigeria</w:t>
            </w:r>
          </w:p>
        </w:tc>
        <w:tc>
          <w:tcPr>
            <w:tcW w:w="8160" w:type="dxa"/>
            <w:tcMar>
              <w:left w:w="60" w:type="dxa"/>
              <w:right w:w="60" w:type="dxa"/>
            </w:tcMar>
          </w:tcPr>
          <w:p w14:paraId="2099D0C6" w14:textId="77777777" w:rsidR="00561428" w:rsidRDefault="00926833">
            <w:pPr>
              <w:rPr>
                <w:color w:val="000000" w:themeColor="text1"/>
                <w:lang w:val="es-ES"/>
              </w:rPr>
            </w:pPr>
            <w:r>
              <w:rPr>
                <w:lang w:val="es-ES"/>
              </w:rPr>
              <w:t xml:space="preserve">No se identificó una definición jurídica cerrada de minerales críticos; lo existente es una hoja de ruta para el desarrollo de la transición energética y de la cadena de valor de minerales críticos en Nigeria. </w:t>
            </w:r>
            <w:sdt>
              <w:sdtPr>
                <w:id w:val="546365477"/>
                <w:citation/>
              </w:sdtPr>
              <w:sdtContent>
                <w:r>
                  <w:fldChar w:fldCharType="begin"/>
                </w:r>
                <w:r>
                  <w:rPr>
                    <w:lang w:val="es-ES"/>
                  </w:rPr>
                  <w:instrText xml:space="preserve"> CITATION Min25 \l 3082 </w:instrText>
                </w:r>
                <w:r>
                  <w:fldChar w:fldCharType="separate"/>
                </w:r>
                <w:r w:rsidR="00E55C2E">
                  <w:rPr>
                    <w:noProof/>
                    <w:lang w:val="es-ES"/>
                  </w:rPr>
                  <w:t>(Ministerio Federal de Información y Orientación Nacional, 2025)</w:t>
                </w:r>
                <w:r>
                  <w:fldChar w:fldCharType="end"/>
                </w:r>
              </w:sdtContent>
            </w:sdt>
          </w:p>
        </w:tc>
      </w:tr>
      <w:tr w:rsidR="39B28450" w:rsidRPr="008D7F27" w14:paraId="02678F9F" w14:textId="77777777" w:rsidTr="00614B58">
        <w:trPr>
          <w:trHeight w:val="495"/>
          <w:jc w:val="center"/>
        </w:trPr>
        <w:tc>
          <w:tcPr>
            <w:tcW w:w="1170" w:type="dxa"/>
            <w:tcMar>
              <w:left w:w="60" w:type="dxa"/>
              <w:right w:w="60" w:type="dxa"/>
            </w:tcMar>
            <w:vAlign w:val="center"/>
          </w:tcPr>
          <w:p w14:paraId="1FC062F9" w14:textId="77777777" w:rsidR="39B28450" w:rsidRPr="008D7F27" w:rsidRDefault="39B28450" w:rsidP="39B28450">
            <w:pPr>
              <w:rPr>
                <w:color w:val="000000" w:themeColor="text1"/>
                <w:lang w:val="es-ES"/>
              </w:rPr>
            </w:pPr>
            <w:r w:rsidRPr="008D7F27">
              <w:rPr>
                <w:b/>
                <w:lang w:val="es-ES"/>
              </w:rPr>
              <w:t>China</w:t>
            </w:r>
          </w:p>
        </w:tc>
        <w:tc>
          <w:tcPr>
            <w:tcW w:w="8160" w:type="dxa"/>
            <w:tcMar>
              <w:left w:w="60" w:type="dxa"/>
              <w:right w:w="60" w:type="dxa"/>
            </w:tcMar>
            <w:vAlign w:val="bottom"/>
          </w:tcPr>
          <w:p w14:paraId="32A1C0A0" w14:textId="77777777" w:rsidR="00561428" w:rsidRDefault="00926833">
            <w:pPr>
              <w:rPr>
                <w:color w:val="000000" w:themeColor="text1"/>
                <w:lang w:val="es-ES"/>
              </w:rPr>
            </w:pPr>
            <w:r>
              <w:rPr>
                <w:lang w:val="es-ES"/>
              </w:rPr>
              <w:t xml:space="preserve">El concepto de minerales críticos o estratégicos se utiliza principalmente bajo el término “strategic mineral resources”; no se acredita en este apartado una definición oficial nacional cerrada y diferenciada de minerales críticos. </w:t>
            </w:r>
            <w:sdt>
              <w:sdtPr>
                <w:id w:val="594690698"/>
                <w:citation/>
              </w:sdtPr>
              <w:sdtContent>
                <w:r>
                  <w:fldChar w:fldCharType="begin"/>
                </w:r>
                <w:r>
                  <w:rPr>
                    <w:lang w:val="es-ES"/>
                  </w:rPr>
                  <w:instrText xml:space="preserve"> CITATION Int \l 3082 </w:instrText>
                </w:r>
                <w:r>
                  <w:fldChar w:fldCharType="separate"/>
                </w:r>
                <w:r w:rsidR="00E55C2E">
                  <w:rPr>
                    <w:noProof/>
                    <w:lang w:val="es-ES"/>
                  </w:rPr>
                  <w:t>(International Energy Agency )</w:t>
                </w:r>
                <w:r>
                  <w:fldChar w:fldCharType="end"/>
                </w:r>
              </w:sdtContent>
            </w:sdt>
          </w:p>
        </w:tc>
      </w:tr>
    </w:tbl>
    <w:p w14:paraId="59FD83E7" w14:textId="1F0F93B1" w:rsidR="39B28450" w:rsidRPr="008D7F27" w:rsidRDefault="0068772A" w:rsidP="000F43C6">
      <w:pPr>
        <w:pStyle w:val="Fuente"/>
        <w:rPr>
          <w:color w:val="000000" w:themeColor="text1"/>
          <w:sz w:val="18"/>
          <w:szCs w:val="18"/>
          <w:lang w:val="es-ES"/>
        </w:rPr>
      </w:pPr>
      <w:r w:rsidRPr="008D7F27">
        <w:rPr>
          <w:lang w:val="es-ES"/>
        </w:rPr>
        <w:t xml:space="preserve">Fuente: </w:t>
      </w:r>
      <w:r w:rsidR="00990730" w:rsidRPr="008D7F27">
        <w:rPr>
          <w:lang w:val="es-ES"/>
        </w:rPr>
        <w:t xml:space="preserve">Elaboración propia a partir de </w:t>
      </w:r>
      <w:r w:rsidR="00D05FCB" w:rsidRPr="008D7F27">
        <w:rPr>
          <w:lang w:val="es-ES"/>
        </w:rPr>
        <w:t>las fichas.</w:t>
      </w:r>
    </w:p>
    <w:p w14:paraId="6DBA1726" w14:textId="77777777" w:rsidR="5CBAD876" w:rsidRPr="008D7F27" w:rsidRDefault="00990730" w:rsidP="39B28450">
      <w:pPr>
        <w:rPr>
          <w:color w:val="000000" w:themeColor="text1"/>
          <w:lang w:val="es-ES"/>
        </w:rPr>
      </w:pPr>
      <w:r w:rsidRPr="008D7F27">
        <w:rPr>
          <w:lang w:val="es-ES"/>
        </w:rPr>
        <w:t>Acorde con lo anterior</w:t>
      </w:r>
      <w:r w:rsidR="5CBAD876" w:rsidRPr="008D7F27">
        <w:rPr>
          <w:lang w:val="es-ES"/>
        </w:rPr>
        <w:t>, se realiz</w:t>
      </w:r>
      <w:r w:rsidR="00D05FCB" w:rsidRPr="008D7F27">
        <w:rPr>
          <w:lang w:val="es-ES"/>
        </w:rPr>
        <w:t>a</w:t>
      </w:r>
      <w:r w:rsidR="5CBAD876" w:rsidRPr="008D7F27">
        <w:rPr>
          <w:lang w:val="es-ES"/>
        </w:rPr>
        <w:t xml:space="preserve"> un análisis comparativo </w:t>
      </w:r>
      <w:r w:rsidRPr="008D7F27">
        <w:rPr>
          <w:lang w:val="es-ES"/>
        </w:rPr>
        <w:t xml:space="preserve">considerando </w:t>
      </w:r>
      <w:r w:rsidR="5CBAD876" w:rsidRPr="008D7F27">
        <w:rPr>
          <w:lang w:val="es-ES"/>
        </w:rPr>
        <w:t>aquellos países que presentan una definición oficial o expresamente adoptada de minerales críticos, como lo son: Chile, Argentina, Sudáfrica, Indonesia, Turquía e India. En consecuencia, Brasil, Perú, Nigeria y China</w:t>
      </w:r>
      <w:r w:rsidR="5CBAD876" w:rsidRPr="008D7F27">
        <w:rPr>
          <w:b/>
          <w:lang w:val="es-ES"/>
        </w:rPr>
        <w:t xml:space="preserve"> </w:t>
      </w:r>
      <w:r w:rsidRPr="008D7F27">
        <w:rPr>
          <w:lang w:val="es-ES"/>
        </w:rPr>
        <w:t xml:space="preserve">al no contar con una definición oficial, no fueron considerados en la </w:t>
      </w:r>
      <w:r w:rsidR="5CBAD876" w:rsidRPr="008D7F27">
        <w:rPr>
          <w:lang w:val="es-ES"/>
        </w:rPr>
        <w:t>homogenización conceptual</w:t>
      </w:r>
      <w:r w:rsidRPr="008D7F27">
        <w:rPr>
          <w:lang w:val="es-ES"/>
        </w:rPr>
        <w:t>.</w:t>
      </w:r>
    </w:p>
    <w:p w14:paraId="171702AB" w14:textId="77777777" w:rsidR="5CBAD876" w:rsidRPr="008D7F27" w:rsidRDefault="5CBAD876" w:rsidP="39B28450">
      <w:pPr>
        <w:rPr>
          <w:color w:val="000000" w:themeColor="text1"/>
          <w:lang w:val="es-ES"/>
        </w:rPr>
      </w:pPr>
      <w:r w:rsidRPr="008D7F27">
        <w:rPr>
          <w:lang w:val="es-ES"/>
        </w:rPr>
        <w:t xml:space="preserve">La revisión </w:t>
      </w:r>
      <w:r w:rsidR="00990730" w:rsidRPr="008D7F27">
        <w:rPr>
          <w:lang w:val="es-ES"/>
        </w:rPr>
        <w:t xml:space="preserve">realizada, </w:t>
      </w:r>
      <w:r w:rsidRPr="008D7F27">
        <w:rPr>
          <w:lang w:val="es-ES"/>
        </w:rPr>
        <w:t>permit</w:t>
      </w:r>
      <w:r w:rsidR="00D05FCB" w:rsidRPr="008D7F27">
        <w:rPr>
          <w:lang w:val="es-ES"/>
        </w:rPr>
        <w:t>e</w:t>
      </w:r>
      <w:r w:rsidRPr="008D7F27">
        <w:rPr>
          <w:lang w:val="es-ES"/>
        </w:rPr>
        <w:t xml:space="preserve"> </w:t>
      </w:r>
      <w:r w:rsidR="00990730" w:rsidRPr="008D7F27">
        <w:rPr>
          <w:lang w:val="es-ES"/>
        </w:rPr>
        <w:t>la identificación de insumos para la construcción</w:t>
      </w:r>
      <w:r w:rsidRPr="008D7F27">
        <w:rPr>
          <w:lang w:val="es-ES"/>
        </w:rPr>
        <w:t xml:space="preserve"> </w:t>
      </w:r>
      <w:r w:rsidR="00990730" w:rsidRPr="008D7F27">
        <w:rPr>
          <w:lang w:val="es-ES"/>
        </w:rPr>
        <w:t>d</w:t>
      </w:r>
      <w:r w:rsidRPr="008D7F27">
        <w:rPr>
          <w:lang w:val="es-ES"/>
        </w:rPr>
        <w:t>el siguiente listado de variables</w:t>
      </w:r>
      <w:r w:rsidR="00990730" w:rsidRPr="008D7F27">
        <w:rPr>
          <w:lang w:val="es-ES"/>
        </w:rPr>
        <w:t>,</w:t>
      </w:r>
      <w:r w:rsidRPr="008D7F27">
        <w:rPr>
          <w:lang w:val="es-ES"/>
        </w:rPr>
        <w:t xml:space="preserve"> que recoge de manera desagregada los elementos conceptuales expresamente incorporados por los países </w:t>
      </w:r>
      <w:r w:rsidR="00990730" w:rsidRPr="008D7F27">
        <w:rPr>
          <w:lang w:val="es-ES"/>
        </w:rPr>
        <w:t>analizados, en</w:t>
      </w:r>
      <w:r w:rsidRPr="008D7F27">
        <w:rPr>
          <w:lang w:val="es-ES"/>
        </w:rPr>
        <w:t xml:space="preserve"> sus definiciones de minerales críticos:</w:t>
      </w:r>
    </w:p>
    <w:p w14:paraId="68CE2951" w14:textId="77777777" w:rsidR="5CBAD876" w:rsidRPr="008D7F27" w:rsidRDefault="5CBAD876">
      <w:pPr>
        <w:pStyle w:val="Prrafodelista"/>
        <w:numPr>
          <w:ilvl w:val="0"/>
          <w:numId w:val="10"/>
        </w:numPr>
        <w:rPr>
          <w:lang w:val="es-ES"/>
        </w:rPr>
      </w:pPr>
      <w:r w:rsidRPr="008D7F27">
        <w:rPr>
          <w:lang w:val="es-ES"/>
        </w:rPr>
        <w:t xml:space="preserve">Participación consolidada o potencial en el suministro global (Chile). </w:t>
      </w:r>
    </w:p>
    <w:p w14:paraId="48140867" w14:textId="77777777" w:rsidR="5CBAD876" w:rsidRPr="008D7F27" w:rsidRDefault="5CBAD876">
      <w:pPr>
        <w:pStyle w:val="Prrafodelista"/>
        <w:numPr>
          <w:ilvl w:val="0"/>
          <w:numId w:val="10"/>
        </w:numPr>
        <w:rPr>
          <w:lang w:val="es-ES"/>
        </w:rPr>
      </w:pPr>
      <w:r w:rsidRPr="008D7F27">
        <w:rPr>
          <w:lang w:val="es-ES"/>
        </w:rPr>
        <w:lastRenderedPageBreak/>
        <w:t xml:space="preserve">Reconocimiento por economías relevantes (Chile). </w:t>
      </w:r>
    </w:p>
    <w:p w14:paraId="43933A8C" w14:textId="77777777" w:rsidR="5CBAD876" w:rsidRPr="008D7F27" w:rsidRDefault="5CBAD876">
      <w:pPr>
        <w:pStyle w:val="Prrafodelista"/>
        <w:numPr>
          <w:ilvl w:val="0"/>
          <w:numId w:val="10"/>
        </w:numPr>
        <w:rPr>
          <w:lang w:val="es-ES"/>
        </w:rPr>
      </w:pPr>
      <w:r w:rsidRPr="008D7F27">
        <w:rPr>
          <w:lang w:val="es-ES"/>
        </w:rPr>
        <w:t xml:space="preserve">Oportunidades estratégicas para el desarrollo sostenible nacional (Chile). </w:t>
      </w:r>
    </w:p>
    <w:p w14:paraId="0239F29E" w14:textId="77777777" w:rsidR="5CBAD876" w:rsidRPr="008D7F27" w:rsidRDefault="5CBAD876">
      <w:pPr>
        <w:pStyle w:val="Prrafodelista"/>
        <w:numPr>
          <w:ilvl w:val="0"/>
          <w:numId w:val="10"/>
        </w:numPr>
        <w:rPr>
          <w:lang w:val="es-ES"/>
        </w:rPr>
      </w:pPr>
      <w:r w:rsidRPr="008D7F27">
        <w:rPr>
          <w:lang w:val="es-ES"/>
        </w:rPr>
        <w:t xml:space="preserve">Riesgo de escasez del suministro (Argentina). </w:t>
      </w:r>
    </w:p>
    <w:p w14:paraId="041D3E24" w14:textId="77777777" w:rsidR="5CBAD876" w:rsidRPr="008D7F27" w:rsidRDefault="5CBAD876">
      <w:pPr>
        <w:pStyle w:val="Prrafodelista"/>
        <w:numPr>
          <w:ilvl w:val="0"/>
          <w:numId w:val="10"/>
        </w:numPr>
        <w:rPr>
          <w:lang w:val="es-ES"/>
        </w:rPr>
      </w:pPr>
      <w:r w:rsidRPr="008D7F27">
        <w:rPr>
          <w:lang w:val="es-ES"/>
        </w:rPr>
        <w:t xml:space="preserve">Impacto económico mucho mayor que en otras materias primas (Argentina). </w:t>
      </w:r>
    </w:p>
    <w:p w14:paraId="70E59B08" w14:textId="77777777" w:rsidR="5CBAD876" w:rsidRPr="008D7F27" w:rsidRDefault="5CBAD876">
      <w:pPr>
        <w:pStyle w:val="Prrafodelista"/>
        <w:numPr>
          <w:ilvl w:val="0"/>
          <w:numId w:val="10"/>
        </w:numPr>
        <w:rPr>
          <w:lang w:val="es-ES"/>
        </w:rPr>
      </w:pPr>
      <w:r w:rsidRPr="008D7F27">
        <w:rPr>
          <w:lang w:val="es-ES"/>
        </w:rPr>
        <w:t xml:space="preserve">Esenciales para el desarrollo económico general (Sudáfrica). </w:t>
      </w:r>
    </w:p>
    <w:p w14:paraId="33797C56" w14:textId="77777777" w:rsidR="5CBAD876" w:rsidRPr="008D7F27" w:rsidRDefault="5CBAD876">
      <w:pPr>
        <w:pStyle w:val="Prrafodelista"/>
        <w:numPr>
          <w:ilvl w:val="0"/>
          <w:numId w:val="10"/>
        </w:numPr>
        <w:rPr>
          <w:lang w:val="es-ES"/>
        </w:rPr>
      </w:pPr>
      <w:r w:rsidRPr="008D7F27">
        <w:rPr>
          <w:lang w:val="es-ES"/>
        </w:rPr>
        <w:t xml:space="preserve">Creación de empleo (Sudáfrica). </w:t>
      </w:r>
    </w:p>
    <w:p w14:paraId="56A3B9CB" w14:textId="77777777" w:rsidR="5CBAD876" w:rsidRPr="008D7F27" w:rsidRDefault="5CBAD876">
      <w:pPr>
        <w:pStyle w:val="Prrafodelista"/>
        <w:numPr>
          <w:ilvl w:val="0"/>
          <w:numId w:val="10"/>
        </w:numPr>
        <w:rPr>
          <w:lang w:val="es-ES"/>
        </w:rPr>
      </w:pPr>
      <w:r w:rsidRPr="008D7F27">
        <w:rPr>
          <w:lang w:val="es-ES"/>
        </w:rPr>
        <w:t xml:space="preserve">Avance industrial (Sudáfrica). </w:t>
      </w:r>
    </w:p>
    <w:p w14:paraId="621B96AE" w14:textId="77777777" w:rsidR="5CBAD876" w:rsidRPr="008D7F27" w:rsidRDefault="5CBAD876">
      <w:pPr>
        <w:pStyle w:val="Prrafodelista"/>
        <w:numPr>
          <w:ilvl w:val="0"/>
          <w:numId w:val="10"/>
        </w:numPr>
        <w:rPr>
          <w:lang w:val="es-ES"/>
        </w:rPr>
      </w:pPr>
      <w:r w:rsidRPr="008D7F27">
        <w:rPr>
          <w:lang w:val="es-ES"/>
        </w:rPr>
        <w:t xml:space="preserve">Contribución a la seguridad nacional (Sudáfrica). </w:t>
      </w:r>
    </w:p>
    <w:p w14:paraId="57708DAA" w14:textId="77777777" w:rsidR="5CBAD876" w:rsidRPr="008D7F27" w:rsidRDefault="5CBAD876">
      <w:pPr>
        <w:pStyle w:val="Prrafodelista"/>
        <w:numPr>
          <w:ilvl w:val="0"/>
          <w:numId w:val="10"/>
        </w:numPr>
        <w:rPr>
          <w:lang w:val="es-ES"/>
        </w:rPr>
      </w:pPr>
      <w:r w:rsidRPr="008D7F27">
        <w:rPr>
          <w:lang w:val="es-ES"/>
        </w:rPr>
        <w:t xml:space="preserve">Materia prima en industrias estratégicas nacionales (Indonesia). </w:t>
      </w:r>
    </w:p>
    <w:p w14:paraId="13F7A7A6" w14:textId="77777777" w:rsidR="5CBAD876" w:rsidRPr="008D7F27" w:rsidRDefault="5CBAD876">
      <w:pPr>
        <w:pStyle w:val="Prrafodelista"/>
        <w:numPr>
          <w:ilvl w:val="0"/>
          <w:numId w:val="10"/>
        </w:numPr>
        <w:rPr>
          <w:lang w:val="es-ES"/>
        </w:rPr>
      </w:pPr>
      <w:r w:rsidRPr="008D7F27">
        <w:rPr>
          <w:lang w:val="es-ES"/>
        </w:rPr>
        <w:t xml:space="preserve">Valor para la economía (Indonesia). </w:t>
      </w:r>
    </w:p>
    <w:p w14:paraId="1EE74C92" w14:textId="77777777" w:rsidR="5CBAD876" w:rsidRPr="008D7F27" w:rsidRDefault="5CBAD876">
      <w:pPr>
        <w:pStyle w:val="Prrafodelista"/>
        <w:numPr>
          <w:ilvl w:val="0"/>
          <w:numId w:val="10"/>
        </w:numPr>
        <w:rPr>
          <w:lang w:val="es-ES"/>
        </w:rPr>
      </w:pPr>
      <w:r w:rsidRPr="008D7F27">
        <w:rPr>
          <w:lang w:val="es-ES"/>
        </w:rPr>
        <w:t xml:space="preserve">Valor para la defensa y seguridad nacional (Indonesia). </w:t>
      </w:r>
    </w:p>
    <w:p w14:paraId="2A713889" w14:textId="77777777" w:rsidR="5CBAD876" w:rsidRPr="008D7F27" w:rsidRDefault="5CBAD876">
      <w:pPr>
        <w:pStyle w:val="Prrafodelista"/>
        <w:numPr>
          <w:ilvl w:val="0"/>
          <w:numId w:val="10"/>
        </w:numPr>
        <w:rPr>
          <w:lang w:val="es-ES"/>
        </w:rPr>
      </w:pPr>
      <w:r w:rsidRPr="008D7F27">
        <w:rPr>
          <w:lang w:val="es-ES"/>
        </w:rPr>
        <w:t xml:space="preserve">Alto riesgo de abastecimiento (Indonesia). </w:t>
      </w:r>
    </w:p>
    <w:p w14:paraId="54929BC9" w14:textId="77777777" w:rsidR="5CBAD876" w:rsidRPr="008D7F27" w:rsidRDefault="5CBAD876">
      <w:pPr>
        <w:pStyle w:val="Prrafodelista"/>
        <w:numPr>
          <w:ilvl w:val="0"/>
          <w:numId w:val="10"/>
        </w:numPr>
        <w:rPr>
          <w:lang w:val="es-ES"/>
        </w:rPr>
      </w:pPr>
      <w:r w:rsidRPr="008D7F27">
        <w:rPr>
          <w:lang w:val="es-ES"/>
        </w:rPr>
        <w:t xml:space="preserve">No tienen sustitutos viables (Indonesia). </w:t>
      </w:r>
    </w:p>
    <w:p w14:paraId="176F5AD1" w14:textId="77777777" w:rsidR="5CBAD876" w:rsidRPr="008D7F27" w:rsidRDefault="5CBAD876">
      <w:pPr>
        <w:pStyle w:val="Prrafodelista"/>
        <w:numPr>
          <w:ilvl w:val="0"/>
          <w:numId w:val="10"/>
        </w:numPr>
        <w:rPr>
          <w:lang w:val="es-ES"/>
        </w:rPr>
      </w:pPr>
      <w:r w:rsidRPr="008D7F27">
        <w:rPr>
          <w:lang w:val="es-ES"/>
        </w:rPr>
        <w:t xml:space="preserve">Insumos básicos de la producción industrial (Turquía). </w:t>
      </w:r>
    </w:p>
    <w:p w14:paraId="25FBD3E0" w14:textId="77777777" w:rsidR="5CBAD876" w:rsidRPr="008D7F27" w:rsidRDefault="5CBAD876">
      <w:pPr>
        <w:pStyle w:val="Prrafodelista"/>
        <w:numPr>
          <w:ilvl w:val="0"/>
          <w:numId w:val="10"/>
        </w:numPr>
        <w:rPr>
          <w:lang w:val="es-ES"/>
        </w:rPr>
      </w:pPr>
      <w:r w:rsidRPr="008D7F27">
        <w:rPr>
          <w:lang w:val="es-ES"/>
        </w:rPr>
        <w:t xml:space="preserve">Alto riesgo de suministro (Turquía). </w:t>
      </w:r>
    </w:p>
    <w:p w14:paraId="48FC0AF2" w14:textId="77777777" w:rsidR="5CBAD876" w:rsidRPr="008D7F27" w:rsidRDefault="5CBAD876">
      <w:pPr>
        <w:pStyle w:val="Prrafodelista"/>
        <w:numPr>
          <w:ilvl w:val="0"/>
          <w:numId w:val="10"/>
        </w:numPr>
        <w:rPr>
          <w:lang w:val="es-ES"/>
        </w:rPr>
      </w:pPr>
      <w:r w:rsidRPr="008D7F27">
        <w:rPr>
          <w:lang w:val="es-ES"/>
        </w:rPr>
        <w:t xml:space="preserve">Graves problemas económicos ante interrupción del suministro (Turquía). </w:t>
      </w:r>
    </w:p>
    <w:p w14:paraId="083CC633" w14:textId="77777777" w:rsidR="5CBAD876" w:rsidRPr="008D7F27" w:rsidRDefault="5CBAD876">
      <w:pPr>
        <w:pStyle w:val="Prrafodelista"/>
        <w:numPr>
          <w:ilvl w:val="0"/>
          <w:numId w:val="10"/>
        </w:numPr>
        <w:rPr>
          <w:lang w:val="es-ES"/>
        </w:rPr>
      </w:pPr>
      <w:r w:rsidRPr="008D7F27">
        <w:rPr>
          <w:lang w:val="es-ES"/>
        </w:rPr>
        <w:t xml:space="preserve">Vulnerabilidad de la seguridad del suministro (Turquía). </w:t>
      </w:r>
    </w:p>
    <w:p w14:paraId="1E8C55AA" w14:textId="77777777" w:rsidR="5CBAD876" w:rsidRPr="008D7F27" w:rsidRDefault="5CBAD876">
      <w:pPr>
        <w:pStyle w:val="Prrafodelista"/>
        <w:numPr>
          <w:ilvl w:val="0"/>
          <w:numId w:val="10"/>
        </w:numPr>
        <w:rPr>
          <w:lang w:val="es-ES"/>
        </w:rPr>
      </w:pPr>
      <w:r w:rsidRPr="008D7F27">
        <w:rPr>
          <w:lang w:val="es-ES"/>
        </w:rPr>
        <w:t xml:space="preserve">Grandes aumentos de precios (Turquía). </w:t>
      </w:r>
    </w:p>
    <w:p w14:paraId="08BF2B02" w14:textId="77777777" w:rsidR="5CBAD876" w:rsidRPr="008D7F27" w:rsidRDefault="5CBAD876">
      <w:pPr>
        <w:pStyle w:val="Prrafodelista"/>
        <w:numPr>
          <w:ilvl w:val="0"/>
          <w:numId w:val="10"/>
        </w:numPr>
        <w:rPr>
          <w:lang w:val="es-ES"/>
        </w:rPr>
      </w:pPr>
      <w:r w:rsidRPr="008D7F27">
        <w:rPr>
          <w:lang w:val="es-ES"/>
        </w:rPr>
        <w:t xml:space="preserve">Esenciales para el desarrollo económico (India). </w:t>
      </w:r>
    </w:p>
    <w:p w14:paraId="28E1B3CF" w14:textId="77777777" w:rsidR="5CBAD876" w:rsidRPr="008D7F27" w:rsidRDefault="5CBAD876">
      <w:pPr>
        <w:pStyle w:val="Prrafodelista"/>
        <w:numPr>
          <w:ilvl w:val="0"/>
          <w:numId w:val="10"/>
        </w:numPr>
        <w:rPr>
          <w:lang w:val="es-ES"/>
        </w:rPr>
      </w:pPr>
      <w:r w:rsidRPr="008D7F27">
        <w:rPr>
          <w:lang w:val="es-ES"/>
        </w:rPr>
        <w:t xml:space="preserve">Esenciales para la seguridad nacional (India). </w:t>
      </w:r>
    </w:p>
    <w:p w14:paraId="75BBDBFF" w14:textId="77777777" w:rsidR="5CBAD876" w:rsidRPr="008D7F27" w:rsidRDefault="5CBAD876">
      <w:pPr>
        <w:pStyle w:val="Prrafodelista"/>
        <w:numPr>
          <w:ilvl w:val="0"/>
          <w:numId w:val="10"/>
        </w:numPr>
        <w:rPr>
          <w:lang w:val="es-ES"/>
        </w:rPr>
      </w:pPr>
      <w:r w:rsidRPr="008D7F27">
        <w:rPr>
          <w:lang w:val="es-ES"/>
        </w:rPr>
        <w:t xml:space="preserve">Falta de disponibilidad o concentración en unas pocas ubicaciones geográficas (India). </w:t>
      </w:r>
    </w:p>
    <w:p w14:paraId="42F3B0A2" w14:textId="77777777" w:rsidR="5CBAD876" w:rsidRPr="008D7F27" w:rsidRDefault="5CBAD876">
      <w:pPr>
        <w:pStyle w:val="Prrafodelista"/>
        <w:numPr>
          <w:ilvl w:val="0"/>
          <w:numId w:val="10"/>
        </w:numPr>
        <w:rPr>
          <w:lang w:val="es-ES"/>
        </w:rPr>
      </w:pPr>
      <w:r w:rsidRPr="008D7F27">
        <w:rPr>
          <w:lang w:val="es-ES"/>
        </w:rPr>
        <w:t xml:space="preserve">Vulnerabilidades en la cadena de suministro (India). </w:t>
      </w:r>
    </w:p>
    <w:p w14:paraId="19CC1F61" w14:textId="77777777" w:rsidR="5CBAD876" w:rsidRPr="008D7F27" w:rsidRDefault="00990730" w:rsidP="39B28450">
      <w:pPr>
        <w:rPr>
          <w:color w:val="000000" w:themeColor="text1"/>
          <w:lang w:val="es-ES"/>
        </w:rPr>
      </w:pPr>
      <w:r w:rsidRPr="008D7F27">
        <w:rPr>
          <w:lang w:val="es-ES"/>
        </w:rPr>
        <w:t>Posteriormente, las variables identificadas se agruparon con el fin de</w:t>
      </w:r>
      <w:r w:rsidR="5CBAD876" w:rsidRPr="008D7F27">
        <w:rPr>
          <w:lang w:val="es-ES"/>
        </w:rPr>
        <w:t xml:space="preserve"> reconocer con mayor claridad las coincidencias conceptuales y las recurrencias predominantes</w:t>
      </w:r>
      <w:r w:rsidRPr="008D7F27">
        <w:rPr>
          <w:lang w:val="es-ES"/>
        </w:rPr>
        <w:t xml:space="preserve">; como se muestra a continuación: </w:t>
      </w:r>
    </w:p>
    <w:p w14:paraId="46DC8EA0" w14:textId="77777777" w:rsidR="003D339C" w:rsidRPr="008D7F27" w:rsidRDefault="003D339C">
      <w:pPr>
        <w:pStyle w:val="Prrafodelista"/>
        <w:numPr>
          <w:ilvl w:val="0"/>
          <w:numId w:val="9"/>
        </w:numPr>
        <w:rPr>
          <w:lang w:val="es-ES"/>
        </w:rPr>
      </w:pPr>
      <w:r w:rsidRPr="008D7F27">
        <w:rPr>
          <w:b/>
          <w:lang w:val="es-ES"/>
        </w:rPr>
        <w:t>Riesgo o vulnerabilidad de suministro (7):</w:t>
      </w:r>
      <w:r w:rsidRPr="008D7F27">
        <w:rPr>
          <w:lang w:val="es-ES"/>
        </w:rPr>
        <w:t xml:space="preserve"> </w:t>
      </w:r>
      <w:r w:rsidR="00674CEA" w:rsidRPr="008D7F27">
        <w:rPr>
          <w:lang w:val="es-ES"/>
        </w:rPr>
        <w:t xml:space="preserve">refiere </w:t>
      </w:r>
      <w:r w:rsidRPr="008D7F27">
        <w:rPr>
          <w:lang w:val="es-ES"/>
        </w:rPr>
        <w:t xml:space="preserve">a la exposición del mineral a escenarios de escasez, interrupción o vulnerabilidad del abastecimiento y agrupa el “riesgo de escasez en su suministro” (Argentina), el “alto riesgo de abastecimiento” (Indonesia), el “alto riesgo de suministro”, la “vulnerabilidad de la seguridad del suministro” y los “grandes aumentos de precios” (Turquía), así como las “vulnerabilidades en la cadena de suministro” y la “falta de disponibilidad o concentración en unas pocas ubicaciones geográficas” (India). </w:t>
      </w:r>
    </w:p>
    <w:p w14:paraId="1658676B" w14:textId="77777777" w:rsidR="003D339C" w:rsidRPr="008D7F27" w:rsidRDefault="003D339C">
      <w:pPr>
        <w:pStyle w:val="Prrafodelista"/>
        <w:numPr>
          <w:ilvl w:val="0"/>
          <w:numId w:val="9"/>
        </w:numPr>
        <w:rPr>
          <w:lang w:val="es-ES"/>
        </w:rPr>
      </w:pPr>
      <w:r w:rsidRPr="008D7F27">
        <w:rPr>
          <w:b/>
          <w:lang w:val="es-ES"/>
        </w:rPr>
        <w:t>Importancia o afectación económica (5):</w:t>
      </w:r>
      <w:r w:rsidRPr="008D7F27">
        <w:rPr>
          <w:lang w:val="es-ES"/>
        </w:rPr>
        <w:t xml:space="preserve"> </w:t>
      </w:r>
      <w:r w:rsidR="00674CEA" w:rsidRPr="008D7F27">
        <w:rPr>
          <w:lang w:val="es-ES"/>
        </w:rPr>
        <w:t>s</w:t>
      </w:r>
      <w:r w:rsidRPr="008D7F27">
        <w:rPr>
          <w:lang w:val="es-ES"/>
        </w:rPr>
        <w:t xml:space="preserve">e vincula con una afectación económica significativa o con el papel del mineral en el desenvolvimiento económico del país y reúne el “impacto sobre la economía” (Argentina), el “desarrollo económico general” (Sudáfrica), el “valor para la economía” (Indonesia), los “graves problemas económicos” (Turquía) y el “desarrollo económico” (India). </w:t>
      </w:r>
    </w:p>
    <w:p w14:paraId="58843ECC" w14:textId="77777777" w:rsidR="003D339C" w:rsidRPr="008D7F27" w:rsidRDefault="003D339C">
      <w:pPr>
        <w:pStyle w:val="Prrafodelista"/>
        <w:numPr>
          <w:ilvl w:val="0"/>
          <w:numId w:val="9"/>
        </w:numPr>
        <w:rPr>
          <w:lang w:val="es-ES"/>
        </w:rPr>
      </w:pPr>
      <w:r w:rsidRPr="008D7F27">
        <w:rPr>
          <w:b/>
          <w:lang w:val="es-ES"/>
        </w:rPr>
        <w:lastRenderedPageBreak/>
        <w:t xml:space="preserve">Función productiva e industrial del país (4): </w:t>
      </w:r>
      <w:r w:rsidR="00674CEA" w:rsidRPr="008D7F27">
        <w:rPr>
          <w:lang w:val="es-ES"/>
        </w:rPr>
        <w:t>r</w:t>
      </w:r>
      <w:r w:rsidRPr="008D7F27">
        <w:rPr>
          <w:lang w:val="es-ES"/>
        </w:rPr>
        <w:t xml:space="preserve">efiere a minerales indispensables para la base productiva e industrial o con capacidad de apalancar el desarrollo nacional y reúne el “avance industrial” (Sudáfrica), la condición de “materia prima en industrias estratégicas nacionales” (Indonesia), los “insumos básicos de la producción industrial” (Turquía) y las “oportunidades estratégicas para el desarrollo sostenible nacional” (Chile). </w:t>
      </w:r>
    </w:p>
    <w:p w14:paraId="646A0A86" w14:textId="77777777" w:rsidR="003D339C" w:rsidRPr="008D7F27" w:rsidRDefault="003D339C">
      <w:pPr>
        <w:pStyle w:val="Prrafodelista"/>
        <w:numPr>
          <w:ilvl w:val="0"/>
          <w:numId w:val="9"/>
        </w:numPr>
        <w:rPr>
          <w:lang w:val="es-ES"/>
        </w:rPr>
      </w:pPr>
      <w:r w:rsidRPr="008D7F27">
        <w:rPr>
          <w:b/>
          <w:lang w:val="es-ES"/>
        </w:rPr>
        <w:t>Seguridad nacional o defensa (3):</w:t>
      </w:r>
      <w:r w:rsidRPr="008D7F27">
        <w:rPr>
          <w:lang w:val="es-ES"/>
        </w:rPr>
        <w:t xml:space="preserve"> </w:t>
      </w:r>
      <w:r w:rsidR="00674CEA" w:rsidRPr="008D7F27">
        <w:rPr>
          <w:lang w:val="es-ES"/>
        </w:rPr>
        <w:t>a</w:t>
      </w:r>
      <w:r w:rsidRPr="008D7F27">
        <w:rPr>
          <w:lang w:val="es-ES"/>
        </w:rPr>
        <w:t xml:space="preserve">grupa la “contribución a la seguridad nacional” (Sudáfrica), el “valor para la defensa y seguridad nacional” (Indonesia) y la referencia a la “seguridad nacional” (India). </w:t>
      </w:r>
    </w:p>
    <w:p w14:paraId="53229E88" w14:textId="77777777" w:rsidR="003D339C" w:rsidRPr="008D7F27" w:rsidRDefault="003D339C">
      <w:pPr>
        <w:pStyle w:val="Prrafodelista"/>
        <w:numPr>
          <w:ilvl w:val="0"/>
          <w:numId w:val="9"/>
        </w:numPr>
        <w:rPr>
          <w:lang w:val="es-ES"/>
        </w:rPr>
      </w:pPr>
      <w:r w:rsidRPr="008D7F27">
        <w:rPr>
          <w:b/>
          <w:lang w:val="es-ES"/>
        </w:rPr>
        <w:t>Suministro global de minerales críticos demandados (2):</w:t>
      </w:r>
      <w:r w:rsidRPr="008D7F27">
        <w:rPr>
          <w:lang w:val="es-ES"/>
        </w:rPr>
        <w:t xml:space="preserve"> </w:t>
      </w:r>
      <w:r w:rsidR="00674CEA" w:rsidRPr="008D7F27">
        <w:rPr>
          <w:lang w:val="es-ES"/>
        </w:rPr>
        <w:t>a</w:t>
      </w:r>
      <w:r w:rsidRPr="008D7F27">
        <w:rPr>
          <w:lang w:val="es-ES"/>
        </w:rPr>
        <w:t>parece de forma singular en la “participación consolidada o potencial en el suministro global” y el “reconocimiento por economías relevantes” (Chile).</w:t>
      </w:r>
    </w:p>
    <w:p w14:paraId="722897CD" w14:textId="77777777" w:rsidR="003D339C" w:rsidRPr="008D7F27" w:rsidRDefault="003D339C">
      <w:pPr>
        <w:pStyle w:val="Prrafodelista"/>
        <w:numPr>
          <w:ilvl w:val="0"/>
          <w:numId w:val="9"/>
        </w:numPr>
        <w:rPr>
          <w:lang w:val="es-ES"/>
        </w:rPr>
      </w:pPr>
      <w:r w:rsidRPr="008D7F27">
        <w:rPr>
          <w:b/>
          <w:lang w:val="es-ES"/>
        </w:rPr>
        <w:t>Ausencia de sustitutos viables (1):</w:t>
      </w:r>
      <w:r w:rsidRPr="008D7F27">
        <w:rPr>
          <w:lang w:val="es-ES"/>
        </w:rPr>
        <w:t xml:space="preserve"> </w:t>
      </w:r>
      <w:r w:rsidR="00674CEA" w:rsidRPr="008D7F27">
        <w:rPr>
          <w:lang w:val="es-ES"/>
        </w:rPr>
        <w:t>c</w:t>
      </w:r>
      <w:r w:rsidRPr="008D7F27">
        <w:rPr>
          <w:lang w:val="es-ES"/>
        </w:rPr>
        <w:t xml:space="preserve">orresponde a la referencia expresa a minerales que “no tienen sustitutos viables” (Indonesia). </w:t>
      </w:r>
    </w:p>
    <w:p w14:paraId="1A548FDB" w14:textId="77777777" w:rsidR="003D339C" w:rsidRPr="008D7F27" w:rsidRDefault="003D339C">
      <w:pPr>
        <w:pStyle w:val="Prrafodelista"/>
        <w:numPr>
          <w:ilvl w:val="0"/>
          <w:numId w:val="9"/>
        </w:numPr>
        <w:rPr>
          <w:lang w:val="es-ES"/>
        </w:rPr>
      </w:pPr>
      <w:r w:rsidRPr="008D7F27">
        <w:rPr>
          <w:b/>
          <w:lang w:val="es-ES"/>
        </w:rPr>
        <w:t>Empleo (1):</w:t>
      </w:r>
      <w:r w:rsidRPr="008D7F27">
        <w:rPr>
          <w:lang w:val="es-ES"/>
        </w:rPr>
        <w:t xml:space="preserve"> </w:t>
      </w:r>
      <w:r w:rsidR="00674CEA" w:rsidRPr="008D7F27">
        <w:rPr>
          <w:lang w:val="es-ES"/>
        </w:rPr>
        <w:t>h</w:t>
      </w:r>
      <w:r w:rsidRPr="008D7F27">
        <w:rPr>
          <w:lang w:val="es-ES"/>
        </w:rPr>
        <w:t>ace referencia a la “creación de empleo” (Sudáfrica).</w:t>
      </w:r>
    </w:p>
    <w:p w14:paraId="391F8C1E" w14:textId="77777777" w:rsidR="003D339C" w:rsidRPr="008D7F27" w:rsidRDefault="06C29FC2" w:rsidP="39B28450">
      <w:pPr>
        <w:pStyle w:val="Ttulo4"/>
        <w:rPr>
          <w:lang w:val="es-ES"/>
        </w:rPr>
      </w:pPr>
      <w:r w:rsidRPr="008D7F27">
        <w:rPr>
          <w:lang w:val="es-ES"/>
        </w:rPr>
        <w:t>Minerales estratégicos</w:t>
      </w:r>
    </w:p>
    <w:p w14:paraId="0A4F2049" w14:textId="14C418D4" w:rsidR="00DA6A81" w:rsidRPr="008D7F27" w:rsidRDefault="12785013" w:rsidP="39B28450">
      <w:pPr>
        <w:rPr>
          <w:color w:val="000000" w:themeColor="text1"/>
          <w:lang w:val="es-ES"/>
        </w:rPr>
      </w:pPr>
      <w:r w:rsidRPr="0EFAC22F">
        <w:rPr>
          <w:lang w:val="es-ES"/>
        </w:rPr>
        <w:t xml:space="preserve">Con la información disponible de los países clasificados como </w:t>
      </w:r>
      <w:r w:rsidR="3A6304C8" w:rsidRPr="0EFAC22F">
        <w:rPr>
          <w:lang w:val="es-ES"/>
        </w:rPr>
        <w:t xml:space="preserve">economías de ingresos medios, </w:t>
      </w:r>
      <w:r w:rsidRPr="0EFAC22F">
        <w:rPr>
          <w:lang w:val="es-ES"/>
        </w:rPr>
        <w:t xml:space="preserve">se identificaron las siguientes definiciones oficiales relacionadas con minerales </w:t>
      </w:r>
      <w:r w:rsidR="3A6304C8" w:rsidRPr="0EFAC22F">
        <w:rPr>
          <w:lang w:val="es-ES"/>
        </w:rPr>
        <w:t>estratégicos</w:t>
      </w:r>
      <w:r w:rsidR="3A6304C8" w:rsidRPr="0EFAC22F">
        <w:rPr>
          <w:b/>
          <w:bCs/>
          <w:lang w:val="es-ES"/>
        </w:rPr>
        <w:t xml:space="preserve"> </w:t>
      </w:r>
      <w:r w:rsidR="3A6304C8" w:rsidRPr="0EFAC22F">
        <w:rPr>
          <w:lang w:val="es-ES"/>
        </w:rPr>
        <w:t>en</w:t>
      </w:r>
      <w:r w:rsidR="3A6304C8" w:rsidRPr="0EFAC22F">
        <w:rPr>
          <w:b/>
          <w:bCs/>
          <w:lang w:val="es-ES"/>
        </w:rPr>
        <w:t xml:space="preserve"> </w:t>
      </w:r>
      <w:r w:rsidR="3A6304C8" w:rsidRPr="0EFAC22F">
        <w:rPr>
          <w:rStyle w:val="Fuerte"/>
          <w:b w:val="0"/>
          <w:bCs w:val="0"/>
          <w:lang w:val="es-ES"/>
        </w:rPr>
        <w:t xml:space="preserve">4 de </w:t>
      </w:r>
      <w:r w:rsidRPr="0EFAC22F">
        <w:rPr>
          <w:rStyle w:val="Fuerte"/>
          <w:b w:val="0"/>
          <w:bCs w:val="0"/>
          <w:lang w:val="es-ES"/>
        </w:rPr>
        <w:t xml:space="preserve">las </w:t>
      </w:r>
      <w:r w:rsidR="3A6304C8" w:rsidRPr="0EFAC22F">
        <w:rPr>
          <w:rStyle w:val="Fuerte"/>
          <w:b w:val="0"/>
          <w:bCs w:val="0"/>
          <w:lang w:val="es-ES"/>
        </w:rPr>
        <w:t>10 economías</w:t>
      </w:r>
      <w:r w:rsidRPr="0EFAC22F">
        <w:rPr>
          <w:rStyle w:val="Fuerte"/>
          <w:b w:val="0"/>
          <w:bCs w:val="0"/>
          <w:lang w:val="es-ES"/>
        </w:rPr>
        <w:t xml:space="preserve"> analizadas</w:t>
      </w:r>
      <w:r w:rsidR="3A6304C8" w:rsidRPr="0EFAC22F">
        <w:rPr>
          <w:b/>
          <w:bCs/>
          <w:lang w:val="es-ES"/>
        </w:rPr>
        <w:t>.</w:t>
      </w:r>
      <w:r w:rsidR="3A6304C8" w:rsidRPr="0EFAC22F">
        <w:rPr>
          <w:lang w:val="es-ES"/>
        </w:rPr>
        <w:t xml:space="preserve"> A continuación</w:t>
      </w:r>
      <w:r w:rsidRPr="0EFAC22F">
        <w:rPr>
          <w:lang w:val="es-ES"/>
        </w:rPr>
        <w:t xml:space="preserve">, se presentan </w:t>
      </w:r>
      <w:r w:rsidR="116EEBA1" w:rsidRPr="0EFAC22F">
        <w:rPr>
          <w:lang w:val="es-ES"/>
        </w:rPr>
        <w:t>los conceptos relacionados</w:t>
      </w:r>
      <w:r w:rsidR="037BFED5" w:rsidRPr="0EFAC22F">
        <w:rPr>
          <w:lang w:val="es-ES"/>
        </w:rPr>
        <w:t xml:space="preserve"> para</w:t>
      </w:r>
      <w:r w:rsidRPr="0EFAC22F">
        <w:rPr>
          <w:lang w:val="es-ES"/>
        </w:rPr>
        <w:t xml:space="preserve"> cada caso:</w:t>
      </w:r>
    </w:p>
    <w:p w14:paraId="18964BA4" w14:textId="77777777" w:rsidR="000F43C6" w:rsidRPr="008D7F27" w:rsidRDefault="000F43C6" w:rsidP="000F43C6">
      <w:pPr>
        <w:pStyle w:val="Descripcin"/>
        <w:rPr>
          <w:lang w:val="es-ES"/>
        </w:rPr>
      </w:pPr>
      <w:r w:rsidRPr="008D7F27">
        <w:rPr>
          <w:lang w:val="es-ES"/>
        </w:rPr>
        <w:t xml:space="preserve">Tabla </w:t>
      </w:r>
      <w:r w:rsidRPr="008D7F27">
        <w:rPr>
          <w:lang w:val="es-ES"/>
        </w:rPr>
        <w:fldChar w:fldCharType="begin"/>
      </w:r>
      <w:r w:rsidRPr="008D7F27">
        <w:rPr>
          <w:lang w:val="es-ES"/>
        </w:rPr>
        <w:instrText xml:space="preserve"> SEQ Tabla \* ARABIC </w:instrText>
      </w:r>
      <w:r w:rsidRPr="008D7F27">
        <w:rPr>
          <w:lang w:val="es-ES"/>
        </w:rPr>
        <w:fldChar w:fldCharType="separate"/>
      </w:r>
      <w:r w:rsidR="000E754D">
        <w:rPr>
          <w:noProof/>
          <w:lang w:val="es-ES"/>
        </w:rPr>
        <w:t>3</w:t>
      </w:r>
      <w:r w:rsidRPr="008D7F27">
        <w:rPr>
          <w:lang w:val="es-ES"/>
        </w:rPr>
        <w:fldChar w:fldCharType="end"/>
      </w:r>
      <w:r w:rsidRPr="008D7F27">
        <w:rPr>
          <w:lang w:val="es-ES"/>
        </w:rPr>
        <w:t xml:space="preserve"> Concepto de minerales estratégicos en economías de ingresos medios.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992"/>
      </w:tblGrid>
      <w:tr w:rsidR="39B28450" w:rsidRPr="008D7F27" w14:paraId="05D0BC44" w14:textId="77777777" w:rsidTr="000F43C6">
        <w:trPr>
          <w:trHeight w:val="120"/>
          <w:jc w:val="center"/>
        </w:trPr>
        <w:tc>
          <w:tcPr>
            <w:tcW w:w="1358" w:type="dxa"/>
            <w:shd w:val="clear" w:color="auto" w:fill="F2F2F2" w:themeFill="background1" w:themeFillShade="F2"/>
            <w:tcMar>
              <w:left w:w="60" w:type="dxa"/>
              <w:right w:w="60" w:type="dxa"/>
            </w:tcMar>
            <w:vAlign w:val="bottom"/>
          </w:tcPr>
          <w:p w14:paraId="58E0921E" w14:textId="77777777" w:rsidR="39B28450" w:rsidRPr="008D7F27" w:rsidRDefault="39B28450" w:rsidP="39B28450">
            <w:pPr>
              <w:jc w:val="center"/>
              <w:rPr>
                <w:color w:val="000000" w:themeColor="text1"/>
                <w:lang w:val="es-ES"/>
              </w:rPr>
            </w:pPr>
            <w:r w:rsidRPr="008D7F27">
              <w:rPr>
                <w:b/>
                <w:lang w:val="es-ES"/>
              </w:rPr>
              <w:t>País</w:t>
            </w:r>
          </w:p>
        </w:tc>
        <w:tc>
          <w:tcPr>
            <w:tcW w:w="7992" w:type="dxa"/>
            <w:shd w:val="clear" w:color="auto" w:fill="F2F2F2" w:themeFill="background1" w:themeFillShade="F2"/>
            <w:tcMar>
              <w:left w:w="60" w:type="dxa"/>
              <w:right w:w="60" w:type="dxa"/>
            </w:tcMar>
            <w:vAlign w:val="bottom"/>
          </w:tcPr>
          <w:p w14:paraId="3A5263F0" w14:textId="77777777" w:rsidR="39B28450" w:rsidRPr="008D7F27" w:rsidRDefault="39B28450" w:rsidP="39B28450">
            <w:pPr>
              <w:jc w:val="center"/>
              <w:rPr>
                <w:color w:val="000000" w:themeColor="text1"/>
                <w:lang w:val="es-ES"/>
              </w:rPr>
            </w:pPr>
            <w:r w:rsidRPr="008D7F27">
              <w:rPr>
                <w:b/>
                <w:lang w:val="es-ES"/>
              </w:rPr>
              <w:t>Concepto de minerales estratégicos adoptado</w:t>
            </w:r>
          </w:p>
        </w:tc>
      </w:tr>
      <w:tr w:rsidR="39B28450" w:rsidRPr="008D7F27" w14:paraId="3B7E6BE7" w14:textId="77777777" w:rsidTr="000F43C6">
        <w:trPr>
          <w:trHeight w:val="930"/>
          <w:jc w:val="center"/>
        </w:trPr>
        <w:tc>
          <w:tcPr>
            <w:tcW w:w="1358" w:type="dxa"/>
            <w:tcMar>
              <w:left w:w="60" w:type="dxa"/>
              <w:right w:w="60" w:type="dxa"/>
            </w:tcMar>
            <w:vAlign w:val="center"/>
          </w:tcPr>
          <w:p w14:paraId="33D33A85" w14:textId="77777777" w:rsidR="39B28450" w:rsidRPr="008D7F27" w:rsidRDefault="39B28450" w:rsidP="39B28450">
            <w:pPr>
              <w:rPr>
                <w:color w:val="000000" w:themeColor="text1"/>
                <w:lang w:val="es-ES"/>
              </w:rPr>
            </w:pPr>
            <w:r w:rsidRPr="008D7F27">
              <w:rPr>
                <w:b/>
                <w:lang w:val="es-ES"/>
              </w:rPr>
              <w:t>Brasil</w:t>
            </w:r>
          </w:p>
        </w:tc>
        <w:tc>
          <w:tcPr>
            <w:tcW w:w="7992" w:type="dxa"/>
            <w:tcMar>
              <w:left w:w="60" w:type="dxa"/>
              <w:right w:w="60" w:type="dxa"/>
            </w:tcMar>
            <w:vAlign w:val="center"/>
          </w:tcPr>
          <w:p w14:paraId="4978D489" w14:textId="77777777" w:rsidR="00561428" w:rsidRDefault="00926833">
            <w:pPr>
              <w:rPr>
                <w:color w:val="000000" w:themeColor="text1"/>
                <w:lang w:val="es-ES"/>
              </w:rPr>
            </w:pPr>
            <w:r>
              <w:rPr>
                <w:lang w:val="es-ES"/>
              </w:rPr>
              <w:t xml:space="preserve">“De acuerdo con lo establecido en el Decreto No. 10.657 (Art. 2) y en la Resolución No. 2 (Art. 1), Brasil define los minerales estratégicos a partir de tres criterios principales de clasificación: I. Grupo I — Dependencia de importaciones; II. Grupo II — Alta tecnología; III. Grupo III — Ventajas comparativas.” </w:t>
            </w:r>
            <w:sdt>
              <w:sdtPr>
                <w:id w:val="525744059"/>
                <w:citation/>
              </w:sdtPr>
              <w:sdtContent>
                <w:r>
                  <w:fldChar w:fldCharType="begin"/>
                </w:r>
                <w:r>
                  <w:rPr>
                    <w:lang w:val="es-ES"/>
                  </w:rPr>
                  <w:instrText xml:space="preserve"> CITATION Bra24 \l 3082 </w:instrText>
                </w:r>
                <w:r>
                  <w:fldChar w:fldCharType="separate"/>
                </w:r>
                <w:r w:rsidR="00E55C2E">
                  <w:rPr>
                    <w:noProof/>
                    <w:lang w:val="es-ES"/>
                  </w:rPr>
                  <w:t>(Brasil. Presidência da República., 2024)</w:t>
                </w:r>
                <w:r>
                  <w:fldChar w:fldCharType="end"/>
                </w:r>
              </w:sdtContent>
            </w:sdt>
          </w:p>
        </w:tc>
      </w:tr>
      <w:tr w:rsidR="39B28450" w:rsidRPr="008D7F27" w14:paraId="63A568C1" w14:textId="77777777" w:rsidTr="000F43C6">
        <w:trPr>
          <w:trHeight w:val="525"/>
          <w:jc w:val="center"/>
        </w:trPr>
        <w:tc>
          <w:tcPr>
            <w:tcW w:w="1358" w:type="dxa"/>
            <w:tcMar>
              <w:left w:w="60" w:type="dxa"/>
              <w:right w:w="60" w:type="dxa"/>
            </w:tcMar>
            <w:vAlign w:val="center"/>
          </w:tcPr>
          <w:p w14:paraId="7BFE587A" w14:textId="77777777" w:rsidR="39B28450" w:rsidRPr="008D7F27" w:rsidRDefault="39B28450" w:rsidP="39B28450">
            <w:pPr>
              <w:rPr>
                <w:color w:val="000000" w:themeColor="text1"/>
                <w:lang w:val="es-ES"/>
              </w:rPr>
            </w:pPr>
            <w:r w:rsidRPr="008D7F27">
              <w:rPr>
                <w:b/>
                <w:lang w:val="es-ES"/>
              </w:rPr>
              <w:t>Argentina</w:t>
            </w:r>
          </w:p>
        </w:tc>
        <w:tc>
          <w:tcPr>
            <w:tcW w:w="7992" w:type="dxa"/>
            <w:tcMar>
              <w:left w:w="60" w:type="dxa"/>
              <w:right w:w="60" w:type="dxa"/>
            </w:tcMar>
            <w:vAlign w:val="center"/>
          </w:tcPr>
          <w:p w14:paraId="67953F2C" w14:textId="77777777" w:rsidR="00561428" w:rsidRDefault="00926833">
            <w:pPr>
              <w:rPr>
                <w:color w:val="000000" w:themeColor="text1"/>
                <w:lang w:val="es-ES"/>
              </w:rPr>
            </w:pPr>
            <w:r>
              <w:rPr>
                <w:lang w:val="es-ES"/>
              </w:rPr>
              <w:t xml:space="preserve">“todos aquellos minerales que son utilizados en la industria por sus particulares propiedades intrínsecas, siendo sus reservas muy codiciadas por los países industrializados.” </w:t>
            </w:r>
            <w:sdt>
              <w:sdtPr>
                <w:id w:val="154364466"/>
                <w:citation/>
              </w:sdtPr>
              <w:sdtContent>
                <w:r>
                  <w:fldChar w:fldCharType="begin"/>
                </w:r>
                <w:r>
                  <w:rPr>
                    <w:lang w:val="es-ES"/>
                  </w:rPr>
                  <w:instrText xml:space="preserve"> CITATION Zap21 \l 3082 </w:instrText>
                </w:r>
                <w:r>
                  <w:fldChar w:fldCharType="separate"/>
                </w:r>
                <w:r w:rsidR="00E55C2E">
                  <w:rPr>
                    <w:noProof/>
                    <w:lang w:val="es-ES"/>
                  </w:rPr>
                  <w:t>(Zappettini, 2021)</w:t>
                </w:r>
                <w:r>
                  <w:fldChar w:fldCharType="end"/>
                </w:r>
              </w:sdtContent>
            </w:sdt>
          </w:p>
        </w:tc>
      </w:tr>
      <w:tr w:rsidR="39B28450" w:rsidRPr="008D7F27" w14:paraId="2DE111A9" w14:textId="77777777" w:rsidTr="000F43C6">
        <w:trPr>
          <w:trHeight w:val="1185"/>
          <w:jc w:val="center"/>
        </w:trPr>
        <w:tc>
          <w:tcPr>
            <w:tcW w:w="1358" w:type="dxa"/>
            <w:tcMar>
              <w:left w:w="60" w:type="dxa"/>
              <w:right w:w="60" w:type="dxa"/>
            </w:tcMar>
            <w:vAlign w:val="center"/>
          </w:tcPr>
          <w:p w14:paraId="5BB091EC" w14:textId="77777777" w:rsidR="39B28450" w:rsidRPr="008D7F27" w:rsidRDefault="39B28450" w:rsidP="39B28450">
            <w:pPr>
              <w:rPr>
                <w:color w:val="000000" w:themeColor="text1"/>
                <w:lang w:val="es-ES"/>
              </w:rPr>
            </w:pPr>
            <w:r w:rsidRPr="008D7F27">
              <w:rPr>
                <w:b/>
                <w:lang w:val="es-ES"/>
              </w:rPr>
              <w:t>Indonesia</w:t>
            </w:r>
          </w:p>
        </w:tc>
        <w:tc>
          <w:tcPr>
            <w:tcW w:w="7992" w:type="dxa"/>
            <w:tcMar>
              <w:left w:w="60" w:type="dxa"/>
              <w:right w:w="60" w:type="dxa"/>
            </w:tcMar>
            <w:vAlign w:val="center"/>
          </w:tcPr>
          <w:p w14:paraId="1FDAF476" w14:textId="77777777" w:rsidR="00561428" w:rsidRDefault="00926833">
            <w:pPr>
              <w:rPr>
                <w:color w:val="000000" w:themeColor="text1"/>
                <w:lang w:val="es-ES"/>
              </w:rPr>
            </w:pPr>
            <w:r>
              <w:rPr>
                <w:lang w:val="es-ES"/>
              </w:rPr>
              <w:t xml:space="preserve">“se consideran minerales como ‘estratégicos’ si cumple con los siguientes cuatro criterios: a. sirven como materias primas para industrias estratégicas y su uso es amplio; b. tienen el potencial de controlar el mercado global a través del dominio de recursos y/o reservas; c. tienen una gran contribución a los ingresos estatales en el sector minero-mineral; d. tienen una contribución dominante a la </w:t>
            </w:r>
            <w:r>
              <w:rPr>
                <w:lang w:val="es-ES"/>
              </w:rPr>
              <w:lastRenderedPageBreak/>
              <w:t xml:space="preserve">economía regional/nacional.” </w:t>
            </w:r>
            <w:sdt>
              <w:sdtPr>
                <w:id w:val="890093575"/>
                <w:citation/>
              </w:sdtPr>
              <w:sdtContent>
                <w:r>
                  <w:fldChar w:fldCharType="begin"/>
                </w:r>
                <w:r>
                  <w:rPr>
                    <w:lang w:val="es-ES"/>
                  </w:rPr>
                  <w:instrText xml:space="preserve"> CITATION Min24 \l 3082 </w:instrText>
                </w:r>
                <w:r>
                  <w:fldChar w:fldCharType="separate"/>
                </w:r>
                <w:r w:rsidR="00E55C2E">
                  <w:rPr>
                    <w:noProof/>
                    <w:lang w:val="es-ES"/>
                  </w:rPr>
                  <w:t>(Ministerio de Energía y Recursos Minerales, 2024)</w:t>
                </w:r>
                <w:r>
                  <w:fldChar w:fldCharType="end"/>
                </w:r>
              </w:sdtContent>
            </w:sdt>
          </w:p>
        </w:tc>
      </w:tr>
      <w:tr w:rsidR="39B28450" w:rsidRPr="008D7F27" w14:paraId="551269F0" w14:textId="77777777" w:rsidTr="000F43C6">
        <w:trPr>
          <w:trHeight w:val="525"/>
          <w:jc w:val="center"/>
        </w:trPr>
        <w:tc>
          <w:tcPr>
            <w:tcW w:w="1358" w:type="dxa"/>
            <w:tcMar>
              <w:left w:w="60" w:type="dxa"/>
              <w:right w:w="60" w:type="dxa"/>
            </w:tcMar>
            <w:vAlign w:val="center"/>
          </w:tcPr>
          <w:p w14:paraId="2E6F3C1D" w14:textId="77777777" w:rsidR="39B28450" w:rsidRPr="008D7F27" w:rsidRDefault="39B28450" w:rsidP="39B28450">
            <w:pPr>
              <w:rPr>
                <w:color w:val="000000" w:themeColor="text1"/>
                <w:lang w:val="es-ES"/>
              </w:rPr>
            </w:pPr>
            <w:r w:rsidRPr="008D7F27">
              <w:rPr>
                <w:b/>
                <w:lang w:val="es-ES"/>
              </w:rPr>
              <w:lastRenderedPageBreak/>
              <w:t>Turquía</w:t>
            </w:r>
          </w:p>
        </w:tc>
        <w:tc>
          <w:tcPr>
            <w:tcW w:w="7992" w:type="dxa"/>
            <w:tcMar>
              <w:left w:w="60" w:type="dxa"/>
              <w:right w:w="60" w:type="dxa"/>
            </w:tcMar>
            <w:vAlign w:val="center"/>
          </w:tcPr>
          <w:p w14:paraId="7C61F574" w14:textId="77777777" w:rsidR="00561428" w:rsidRDefault="00926833">
            <w:pPr>
              <w:rPr>
                <w:color w:val="000000" w:themeColor="text1"/>
                <w:lang w:val="es-ES"/>
              </w:rPr>
            </w:pPr>
            <w:r>
              <w:rPr>
                <w:lang w:val="es-ES"/>
              </w:rPr>
              <w:t xml:space="preserve">“Minerales que son de importancia fundamental para la seguridad nacional y la prosperidad económica y cuyo suministro puede verse restringido debido a factores internos o externos.” </w:t>
            </w:r>
            <w:sdt>
              <w:sdtPr>
                <w:id w:val="309972165"/>
                <w:citation/>
              </w:sdtPr>
              <w:sdtContent>
                <w:r>
                  <w:fldChar w:fldCharType="begin"/>
                </w:r>
                <w:r>
                  <w:rPr>
                    <w:lang w:val="es-ES"/>
                  </w:rPr>
                  <w:instrText xml:space="preserve"> CITATION Tür25 \l 3082 </w:instrText>
                </w:r>
                <w:r>
                  <w:fldChar w:fldCharType="separate"/>
                </w:r>
                <w:r w:rsidR="00E55C2E">
                  <w:rPr>
                    <w:noProof/>
                    <w:lang w:val="es-ES"/>
                  </w:rPr>
                  <w:t>(Türkiye Critical Minerals Initiative, 2025)</w:t>
                </w:r>
                <w:r>
                  <w:fldChar w:fldCharType="end"/>
                </w:r>
              </w:sdtContent>
            </w:sdt>
          </w:p>
        </w:tc>
      </w:tr>
      <w:tr w:rsidR="39B28450" w:rsidRPr="008D7F27" w14:paraId="6F2FE80D" w14:textId="77777777" w:rsidTr="000F43C6">
        <w:trPr>
          <w:trHeight w:val="525"/>
          <w:jc w:val="center"/>
        </w:trPr>
        <w:tc>
          <w:tcPr>
            <w:tcW w:w="1358" w:type="dxa"/>
            <w:tcMar>
              <w:left w:w="60" w:type="dxa"/>
              <w:right w:w="60" w:type="dxa"/>
            </w:tcMar>
            <w:vAlign w:val="center"/>
          </w:tcPr>
          <w:p w14:paraId="3E76ED56" w14:textId="77777777" w:rsidR="39B28450" w:rsidRPr="008D7F27" w:rsidRDefault="39B28450" w:rsidP="39B28450">
            <w:pPr>
              <w:rPr>
                <w:color w:val="000000" w:themeColor="text1"/>
                <w:lang w:val="es-ES"/>
              </w:rPr>
            </w:pPr>
            <w:r w:rsidRPr="008D7F27">
              <w:rPr>
                <w:b/>
                <w:lang w:val="es-ES"/>
              </w:rPr>
              <w:t>Chile</w:t>
            </w:r>
          </w:p>
        </w:tc>
        <w:tc>
          <w:tcPr>
            <w:tcW w:w="7992" w:type="dxa"/>
            <w:tcMar>
              <w:left w:w="60" w:type="dxa"/>
              <w:right w:w="60" w:type="dxa"/>
            </w:tcMar>
            <w:vAlign w:val="center"/>
          </w:tcPr>
          <w:p w14:paraId="737BCB37" w14:textId="77777777" w:rsidR="00561428" w:rsidRDefault="00926833">
            <w:pPr>
              <w:rPr>
                <w:color w:val="000000" w:themeColor="text1"/>
                <w:lang w:val="es-ES"/>
              </w:rPr>
            </w:pPr>
            <w:r>
              <w:rPr>
                <w:lang w:val="es-ES"/>
              </w:rPr>
              <w:t xml:space="preserve">La información disponible no incluye una definición oficial de minerales estratégicos; la dimensión estratégica aparece incorporada dentro de la definición de minerales críticos. </w:t>
            </w:r>
            <w:sdt>
              <w:sdtPr>
                <w:id w:val="891851516"/>
                <w:citation/>
              </w:sdtPr>
              <w:sdtContent>
                <w:r>
                  <w:fldChar w:fldCharType="begin"/>
                </w:r>
                <w:r>
                  <w:rPr>
                    <w:lang w:val="es-ES"/>
                  </w:rPr>
                  <w:instrText xml:space="preserve"> CITATION Gob25 \l 3082 </w:instrText>
                </w:r>
                <w:r>
                  <w:fldChar w:fldCharType="separate"/>
                </w:r>
                <w:r w:rsidR="00E55C2E">
                  <w:rPr>
                    <w:noProof/>
                    <w:lang w:val="es-ES"/>
                  </w:rPr>
                  <w:t>(Gobierno Digital, 2025)</w:t>
                </w:r>
                <w:r>
                  <w:fldChar w:fldCharType="end"/>
                </w:r>
              </w:sdtContent>
            </w:sdt>
          </w:p>
        </w:tc>
      </w:tr>
      <w:tr w:rsidR="39B28450" w:rsidRPr="008D7F27" w14:paraId="2DDFD61A" w14:textId="77777777" w:rsidTr="000F43C6">
        <w:trPr>
          <w:trHeight w:val="525"/>
          <w:jc w:val="center"/>
        </w:trPr>
        <w:tc>
          <w:tcPr>
            <w:tcW w:w="1358" w:type="dxa"/>
            <w:tcMar>
              <w:left w:w="60" w:type="dxa"/>
              <w:right w:w="60" w:type="dxa"/>
            </w:tcMar>
            <w:vAlign w:val="center"/>
          </w:tcPr>
          <w:p w14:paraId="1BE62A4B" w14:textId="77777777" w:rsidR="39B28450" w:rsidRPr="008D7F27" w:rsidRDefault="39B28450" w:rsidP="39B28450">
            <w:pPr>
              <w:rPr>
                <w:color w:val="000000" w:themeColor="text1"/>
                <w:lang w:val="es-ES"/>
              </w:rPr>
            </w:pPr>
            <w:r w:rsidRPr="008D7F27">
              <w:rPr>
                <w:b/>
                <w:lang w:val="es-ES"/>
              </w:rPr>
              <w:t>Perú</w:t>
            </w:r>
          </w:p>
        </w:tc>
        <w:tc>
          <w:tcPr>
            <w:tcW w:w="7992" w:type="dxa"/>
            <w:tcMar>
              <w:left w:w="60" w:type="dxa"/>
              <w:right w:w="60" w:type="dxa"/>
            </w:tcMar>
            <w:vAlign w:val="center"/>
          </w:tcPr>
          <w:p w14:paraId="67F1448D" w14:textId="77777777" w:rsidR="00561428" w:rsidRDefault="00926833">
            <w:pPr>
              <w:rPr>
                <w:color w:val="000000" w:themeColor="text1"/>
                <w:lang w:val="es-ES"/>
              </w:rPr>
            </w:pPr>
            <w:r>
              <w:rPr>
                <w:lang w:val="es-ES"/>
              </w:rPr>
              <w:t xml:space="preserve">La información disponible no incluye una definición oficial de minerales estratégicos; el tratamiento del tema se mantiene principalmente en el plano técnico. </w:t>
            </w:r>
            <w:sdt>
              <w:sdtPr>
                <w:id w:val="442797389"/>
                <w:citation/>
              </w:sdtPr>
              <w:sdtContent>
                <w:r>
                  <w:fldChar w:fldCharType="begin"/>
                </w:r>
                <w:r>
                  <w:rPr>
                    <w:lang w:val="es-ES"/>
                  </w:rPr>
                  <w:instrText xml:space="preserve"> CITATION Min262 \l 3082 </w:instrText>
                </w:r>
                <w:r>
                  <w:fldChar w:fldCharType="separate"/>
                </w:r>
                <w:r w:rsidR="00E55C2E">
                  <w:rPr>
                    <w:noProof/>
                    <w:lang w:val="es-ES"/>
                  </w:rPr>
                  <w:t>(MINEM, 2026)</w:t>
                </w:r>
                <w:r>
                  <w:fldChar w:fldCharType="end"/>
                </w:r>
              </w:sdtContent>
            </w:sdt>
          </w:p>
        </w:tc>
      </w:tr>
      <w:tr w:rsidR="39B28450" w:rsidRPr="008D7F27" w14:paraId="3CCF608E" w14:textId="77777777" w:rsidTr="000F43C6">
        <w:trPr>
          <w:trHeight w:val="390"/>
          <w:jc w:val="center"/>
        </w:trPr>
        <w:tc>
          <w:tcPr>
            <w:tcW w:w="1358" w:type="dxa"/>
            <w:tcMar>
              <w:left w:w="60" w:type="dxa"/>
              <w:right w:w="60" w:type="dxa"/>
            </w:tcMar>
            <w:vAlign w:val="center"/>
          </w:tcPr>
          <w:p w14:paraId="7F25671A" w14:textId="77777777" w:rsidR="39B28450" w:rsidRPr="008D7F27" w:rsidRDefault="39B28450" w:rsidP="39B28450">
            <w:pPr>
              <w:rPr>
                <w:color w:val="000000" w:themeColor="text1"/>
                <w:lang w:val="es-ES"/>
              </w:rPr>
            </w:pPr>
            <w:r w:rsidRPr="008D7F27">
              <w:rPr>
                <w:b/>
                <w:lang w:val="es-ES"/>
              </w:rPr>
              <w:t>Sudáfrica</w:t>
            </w:r>
          </w:p>
        </w:tc>
        <w:tc>
          <w:tcPr>
            <w:tcW w:w="7992" w:type="dxa"/>
            <w:tcMar>
              <w:left w:w="60" w:type="dxa"/>
              <w:right w:w="60" w:type="dxa"/>
            </w:tcMar>
            <w:vAlign w:val="center"/>
          </w:tcPr>
          <w:p w14:paraId="58F15178" w14:textId="77777777" w:rsidR="00561428" w:rsidRDefault="00926833">
            <w:pPr>
              <w:rPr>
                <w:color w:val="000000" w:themeColor="text1"/>
                <w:lang w:val="es-ES"/>
              </w:rPr>
            </w:pPr>
            <w:r>
              <w:rPr>
                <w:lang w:val="es-ES"/>
              </w:rPr>
              <w:t xml:space="preserve">La información disponible no incluye una definición oficial de minerales estratégicos; el desarrollo conceptual se concentra en minerales críticos. </w:t>
            </w:r>
            <w:sdt>
              <w:sdtPr>
                <w:id w:val="160185066"/>
                <w:citation/>
              </w:sdtPr>
              <w:sdtContent>
                <w:r>
                  <w:fldChar w:fldCharType="begin"/>
                </w:r>
                <w:r>
                  <w:rPr>
                    <w:lang w:val="es-ES"/>
                  </w:rPr>
                  <w:instrText xml:space="preserve"> CITATION Min \l 3082 </w:instrText>
                </w:r>
                <w:r>
                  <w:fldChar w:fldCharType="separate"/>
                </w:r>
                <w:r w:rsidR="00E55C2E">
                  <w:rPr>
                    <w:noProof/>
                    <w:lang w:val="es-ES"/>
                  </w:rPr>
                  <w:t>(Ministerio de recursos minerales y de petróleos, 2025)</w:t>
                </w:r>
                <w:r>
                  <w:fldChar w:fldCharType="end"/>
                </w:r>
              </w:sdtContent>
            </w:sdt>
          </w:p>
        </w:tc>
      </w:tr>
      <w:tr w:rsidR="39B28450" w:rsidRPr="008D7F27" w14:paraId="1573315C" w14:textId="77777777" w:rsidTr="000F43C6">
        <w:trPr>
          <w:trHeight w:val="660"/>
          <w:jc w:val="center"/>
        </w:trPr>
        <w:tc>
          <w:tcPr>
            <w:tcW w:w="1358" w:type="dxa"/>
            <w:tcMar>
              <w:left w:w="60" w:type="dxa"/>
              <w:right w:w="60" w:type="dxa"/>
            </w:tcMar>
            <w:vAlign w:val="center"/>
          </w:tcPr>
          <w:p w14:paraId="7AB7FA01" w14:textId="77777777" w:rsidR="39B28450" w:rsidRPr="008D7F27" w:rsidRDefault="39B28450" w:rsidP="39B28450">
            <w:pPr>
              <w:rPr>
                <w:color w:val="000000" w:themeColor="text1"/>
                <w:lang w:val="es-ES"/>
              </w:rPr>
            </w:pPr>
            <w:r w:rsidRPr="008D7F27">
              <w:rPr>
                <w:b/>
                <w:lang w:val="es-ES"/>
              </w:rPr>
              <w:t>Nigeria</w:t>
            </w:r>
          </w:p>
        </w:tc>
        <w:tc>
          <w:tcPr>
            <w:tcW w:w="7992" w:type="dxa"/>
            <w:tcMar>
              <w:left w:w="60" w:type="dxa"/>
              <w:right w:w="60" w:type="dxa"/>
            </w:tcMar>
            <w:vAlign w:val="center"/>
          </w:tcPr>
          <w:p w14:paraId="7EFEF112" w14:textId="77777777" w:rsidR="00561428" w:rsidRDefault="00926833">
            <w:pPr>
              <w:rPr>
                <w:color w:val="000000" w:themeColor="text1"/>
                <w:lang w:val="es-ES"/>
              </w:rPr>
            </w:pPr>
            <w:r>
              <w:rPr>
                <w:lang w:val="es-ES"/>
              </w:rPr>
              <w:t xml:space="preserve">No presenta una definición normativa cerrada de “minerales estratégicos”; recoge la fórmula funcional de “aquellos minerales seleccionados por su aporte potencial al desarrollo económico del país”. </w:t>
            </w:r>
            <w:sdt>
              <w:sdtPr>
                <w:id w:val="973947823"/>
                <w:citation/>
              </w:sdtPr>
              <w:sdtContent>
                <w:r>
                  <w:fldChar w:fldCharType="begin"/>
                </w:r>
                <w:r>
                  <w:rPr>
                    <w:lang w:val="es-ES"/>
                  </w:rPr>
                  <w:instrText xml:space="preserve"> CITATION Min16 \l 3082 </w:instrText>
                </w:r>
                <w:r>
                  <w:fldChar w:fldCharType="separate"/>
                </w:r>
                <w:r w:rsidR="00E55C2E">
                  <w:rPr>
                    <w:noProof/>
                    <w:lang w:val="es-ES"/>
                  </w:rPr>
                  <w:t>(Ministerio de Minas y Acero de Nigeria, 2016)</w:t>
                </w:r>
                <w:r>
                  <w:fldChar w:fldCharType="end"/>
                </w:r>
              </w:sdtContent>
            </w:sdt>
          </w:p>
        </w:tc>
      </w:tr>
      <w:tr w:rsidR="39B28450" w:rsidRPr="008D7F27" w14:paraId="31DE2D46" w14:textId="77777777" w:rsidTr="000F43C6">
        <w:trPr>
          <w:trHeight w:val="660"/>
          <w:jc w:val="center"/>
        </w:trPr>
        <w:tc>
          <w:tcPr>
            <w:tcW w:w="1358" w:type="dxa"/>
            <w:tcMar>
              <w:left w:w="60" w:type="dxa"/>
              <w:right w:w="60" w:type="dxa"/>
            </w:tcMar>
            <w:vAlign w:val="center"/>
          </w:tcPr>
          <w:p w14:paraId="7F394699" w14:textId="77777777" w:rsidR="39B28450" w:rsidRPr="008D7F27" w:rsidRDefault="39B28450" w:rsidP="39B28450">
            <w:pPr>
              <w:rPr>
                <w:color w:val="000000" w:themeColor="text1"/>
                <w:lang w:val="es-ES"/>
              </w:rPr>
            </w:pPr>
            <w:r w:rsidRPr="008D7F27">
              <w:rPr>
                <w:b/>
                <w:lang w:val="es-ES"/>
              </w:rPr>
              <w:t>China</w:t>
            </w:r>
          </w:p>
        </w:tc>
        <w:tc>
          <w:tcPr>
            <w:tcW w:w="7992" w:type="dxa"/>
            <w:tcMar>
              <w:left w:w="60" w:type="dxa"/>
              <w:right w:w="60" w:type="dxa"/>
            </w:tcMar>
            <w:vAlign w:val="center"/>
          </w:tcPr>
          <w:p w14:paraId="535653EA" w14:textId="77777777" w:rsidR="00561428" w:rsidRDefault="00926833">
            <w:pPr>
              <w:rPr>
                <w:color w:val="000000" w:themeColor="text1"/>
                <w:lang w:val="es-ES"/>
              </w:rPr>
            </w:pPr>
            <w:r>
              <w:rPr>
                <w:lang w:val="es-ES"/>
              </w:rPr>
              <w:t xml:space="preserve">Se considera el término “strategic mineral resources”; no se incluye una definición oficial de minerales estratégicos. </w:t>
            </w:r>
            <w:sdt>
              <w:sdtPr>
                <w:id w:val="501145242"/>
                <w:citation/>
              </w:sdtPr>
              <w:sdtContent>
                <w:r>
                  <w:fldChar w:fldCharType="begin"/>
                </w:r>
                <w:r>
                  <w:rPr>
                    <w:lang w:val="es-ES"/>
                  </w:rPr>
                  <w:instrText xml:space="preserve"> CITATION Int \l 3082 </w:instrText>
                </w:r>
                <w:r>
                  <w:fldChar w:fldCharType="separate"/>
                </w:r>
                <w:r w:rsidR="00E55C2E">
                  <w:rPr>
                    <w:noProof/>
                    <w:lang w:val="es-ES"/>
                  </w:rPr>
                  <w:t>(International Energy Agency )</w:t>
                </w:r>
                <w:r>
                  <w:fldChar w:fldCharType="end"/>
                </w:r>
              </w:sdtContent>
            </w:sdt>
          </w:p>
        </w:tc>
      </w:tr>
      <w:tr w:rsidR="39B28450" w:rsidRPr="008D7F27" w14:paraId="666AC70D" w14:textId="77777777" w:rsidTr="000F43C6">
        <w:trPr>
          <w:trHeight w:val="525"/>
          <w:jc w:val="center"/>
        </w:trPr>
        <w:tc>
          <w:tcPr>
            <w:tcW w:w="1358" w:type="dxa"/>
            <w:tcMar>
              <w:left w:w="60" w:type="dxa"/>
              <w:right w:w="60" w:type="dxa"/>
            </w:tcMar>
            <w:vAlign w:val="center"/>
          </w:tcPr>
          <w:p w14:paraId="337B942C" w14:textId="77777777" w:rsidR="39B28450" w:rsidRPr="008D7F27" w:rsidRDefault="39B28450" w:rsidP="39B28450">
            <w:pPr>
              <w:rPr>
                <w:color w:val="000000" w:themeColor="text1"/>
                <w:lang w:val="es-ES"/>
              </w:rPr>
            </w:pPr>
            <w:r w:rsidRPr="008D7F27">
              <w:rPr>
                <w:b/>
                <w:lang w:val="es-ES"/>
              </w:rPr>
              <w:t>India</w:t>
            </w:r>
          </w:p>
        </w:tc>
        <w:tc>
          <w:tcPr>
            <w:tcW w:w="7992" w:type="dxa"/>
            <w:tcMar>
              <w:left w:w="60" w:type="dxa"/>
              <w:right w:w="60" w:type="dxa"/>
            </w:tcMar>
            <w:vAlign w:val="center"/>
          </w:tcPr>
          <w:p w14:paraId="26F0293D" w14:textId="77777777" w:rsidR="00561428" w:rsidRDefault="00926833">
            <w:pPr>
              <w:rPr>
                <w:color w:val="000000" w:themeColor="text1"/>
                <w:lang w:val="es-ES"/>
              </w:rPr>
            </w:pPr>
            <w:r>
              <w:rPr>
                <w:lang w:val="es-ES"/>
              </w:rPr>
              <w:t xml:space="preserve">No se identifica una definición oficial de minerales estratégicos; se consideran los conceptos de estrategia y cadena de valor. </w:t>
            </w:r>
            <w:sdt>
              <w:sdtPr>
                <w:id w:val="944713808"/>
                <w:citation/>
              </w:sdtPr>
              <w:sdtContent>
                <w:r>
                  <w:fldChar w:fldCharType="begin"/>
                </w:r>
                <w:r>
                  <w:rPr>
                    <w:lang w:val="es-ES"/>
                  </w:rPr>
                  <w:instrText xml:space="preserve"> CITATION InMin23 \l 3082 </w:instrText>
                </w:r>
                <w:r>
                  <w:fldChar w:fldCharType="separate"/>
                </w:r>
                <w:r w:rsidR="00E55C2E">
                  <w:rPr>
                    <w:noProof/>
                    <w:lang w:val="es-ES"/>
                  </w:rPr>
                  <w:t>(Ministerio de Minas de India, 2023)</w:t>
                </w:r>
                <w:r>
                  <w:fldChar w:fldCharType="end"/>
                </w:r>
              </w:sdtContent>
            </w:sdt>
          </w:p>
        </w:tc>
      </w:tr>
    </w:tbl>
    <w:p w14:paraId="296318E9" w14:textId="17A7E52C" w:rsidR="000F43C6" w:rsidRPr="008D7F27" w:rsidRDefault="000F43C6" w:rsidP="000F43C6">
      <w:pPr>
        <w:pStyle w:val="Fuente"/>
        <w:rPr>
          <w:color w:val="000000" w:themeColor="text1"/>
          <w:sz w:val="18"/>
          <w:szCs w:val="18"/>
          <w:lang w:val="es-ES"/>
        </w:rPr>
      </w:pPr>
      <w:r w:rsidRPr="008D7F27">
        <w:rPr>
          <w:lang w:val="es-ES"/>
        </w:rPr>
        <w:t>Fuente: Elaboración propia a partir de las fichas.</w:t>
      </w:r>
    </w:p>
    <w:p w14:paraId="59BF7EA8" w14:textId="77777777" w:rsidR="003D339C" w:rsidRPr="008D7F27" w:rsidRDefault="00873128" w:rsidP="39B28450">
      <w:pPr>
        <w:rPr>
          <w:color w:val="000000" w:themeColor="text1"/>
          <w:lang w:val="es-ES"/>
        </w:rPr>
      </w:pPr>
      <w:r w:rsidRPr="008D7F27">
        <w:rPr>
          <w:lang w:val="es-ES"/>
        </w:rPr>
        <w:t>Acorde con lo anterior,</w:t>
      </w:r>
      <w:r w:rsidR="06C29FC2" w:rsidRPr="008D7F27">
        <w:rPr>
          <w:lang w:val="es-ES"/>
        </w:rPr>
        <w:t xml:space="preserve"> </w:t>
      </w:r>
      <w:r w:rsidRPr="008D7F27">
        <w:rPr>
          <w:lang w:val="es-ES"/>
        </w:rPr>
        <w:t xml:space="preserve">se </w:t>
      </w:r>
      <w:r w:rsidR="000F43C6" w:rsidRPr="008D7F27">
        <w:rPr>
          <w:lang w:val="es-ES"/>
        </w:rPr>
        <w:t>desarrolla</w:t>
      </w:r>
      <w:r w:rsidRPr="008D7F27">
        <w:rPr>
          <w:lang w:val="es-ES"/>
        </w:rPr>
        <w:t xml:space="preserve"> un análisis comparativo considerando </w:t>
      </w:r>
      <w:r w:rsidR="06C29FC2" w:rsidRPr="008D7F27">
        <w:rPr>
          <w:lang w:val="es-ES"/>
        </w:rPr>
        <w:t xml:space="preserve">los países </w:t>
      </w:r>
      <w:r w:rsidRPr="008D7F27">
        <w:rPr>
          <w:lang w:val="es-ES"/>
        </w:rPr>
        <w:t xml:space="preserve">que presentan </w:t>
      </w:r>
      <w:r w:rsidR="06C29FC2" w:rsidRPr="008D7F27">
        <w:rPr>
          <w:lang w:val="es-ES"/>
        </w:rPr>
        <w:t xml:space="preserve">una definición </w:t>
      </w:r>
      <w:r w:rsidR="008D7F27" w:rsidRPr="008D7F27">
        <w:rPr>
          <w:lang w:val="es-ES"/>
        </w:rPr>
        <w:t>oficial de</w:t>
      </w:r>
      <w:r w:rsidR="06C29FC2" w:rsidRPr="008D7F27">
        <w:rPr>
          <w:lang w:val="es-ES"/>
        </w:rPr>
        <w:t xml:space="preserve"> minerales estratégicos, </w:t>
      </w:r>
      <w:r w:rsidRPr="008D7F27">
        <w:rPr>
          <w:lang w:val="es-ES"/>
        </w:rPr>
        <w:t>tales como</w:t>
      </w:r>
      <w:r w:rsidR="06C29FC2" w:rsidRPr="008D7F27">
        <w:rPr>
          <w:lang w:val="es-ES"/>
        </w:rPr>
        <w:t xml:space="preserve">: Brasil, Argentina, Indonesia y Turquía. En consecuencia, Chile, Perú, Sudáfrica, Nigeria, China e India </w:t>
      </w:r>
      <w:r w:rsidRPr="008D7F27">
        <w:rPr>
          <w:lang w:val="es-ES"/>
        </w:rPr>
        <w:t xml:space="preserve">al no contar con una definición oficial, no fueron considerados en la </w:t>
      </w:r>
      <w:r w:rsidR="06C29FC2" w:rsidRPr="008D7F27">
        <w:rPr>
          <w:lang w:val="es-ES"/>
        </w:rPr>
        <w:t>homogenización conceptual</w:t>
      </w:r>
      <w:r w:rsidRPr="008D7F27">
        <w:rPr>
          <w:lang w:val="es-ES"/>
        </w:rPr>
        <w:t>.</w:t>
      </w:r>
    </w:p>
    <w:p w14:paraId="226ACEF8" w14:textId="77777777" w:rsidR="000C2745" w:rsidRPr="008D7F27" w:rsidRDefault="000C2745" w:rsidP="39B28450">
      <w:pPr>
        <w:rPr>
          <w:color w:val="000000" w:themeColor="text1"/>
          <w:lang w:val="es-ES"/>
        </w:rPr>
      </w:pPr>
      <w:r w:rsidRPr="008D7F27">
        <w:rPr>
          <w:lang w:val="es-ES"/>
        </w:rPr>
        <w:t>La revisión realizada, permit</w:t>
      </w:r>
      <w:r w:rsidR="000F43C6" w:rsidRPr="008D7F27">
        <w:rPr>
          <w:lang w:val="es-ES"/>
        </w:rPr>
        <w:t>e</w:t>
      </w:r>
      <w:r w:rsidRPr="008D7F27">
        <w:rPr>
          <w:lang w:val="es-ES"/>
        </w:rPr>
        <w:t xml:space="preserve"> la identificación de insumos para la construcción del siguiente listado de variables, que recoge de manera desagregada los elementos conceptuales expresamente incorporados por los países analizados, en sus definiciones de minerales estratégicos:</w:t>
      </w:r>
    </w:p>
    <w:p w14:paraId="7692D50F" w14:textId="77777777" w:rsidR="003D339C" w:rsidRPr="008D7F27" w:rsidRDefault="003D339C">
      <w:pPr>
        <w:numPr>
          <w:ilvl w:val="0"/>
          <w:numId w:val="6"/>
        </w:numPr>
        <w:rPr>
          <w:lang w:val="es-ES"/>
        </w:rPr>
      </w:pPr>
      <w:r w:rsidRPr="008D7F27">
        <w:rPr>
          <w:b/>
          <w:lang w:val="es-ES"/>
        </w:rPr>
        <w:lastRenderedPageBreak/>
        <w:t>Función productiva, industrial y tecnológica del país (3):</w:t>
      </w:r>
      <w:r w:rsidRPr="008D7F27">
        <w:rPr>
          <w:lang w:val="es-ES"/>
        </w:rPr>
        <w:t xml:space="preserve"> </w:t>
      </w:r>
      <w:r w:rsidR="000C2745" w:rsidRPr="008D7F27">
        <w:rPr>
          <w:lang w:val="es-ES"/>
        </w:rPr>
        <w:t>r</w:t>
      </w:r>
      <w:r w:rsidRPr="008D7F27">
        <w:rPr>
          <w:lang w:val="es-ES"/>
        </w:rPr>
        <w:t xml:space="preserve">efiere a minerales indispensables para la base productiva, industrial o tecnológica del país y reúne la “alta tecnología, baterías, transición energética e innovaciones asociadas a la economía verde” (Brasil), el “uso industrial por propiedades intrínsecas” (Argentina) y las “materias primas para industrias estratégicas y de uso amplio” (Indonesia). </w:t>
      </w:r>
    </w:p>
    <w:p w14:paraId="7A049FE6" w14:textId="77777777" w:rsidR="003D339C" w:rsidRPr="008D7F27" w:rsidRDefault="003D339C">
      <w:pPr>
        <w:numPr>
          <w:ilvl w:val="0"/>
          <w:numId w:val="6"/>
        </w:numPr>
        <w:rPr>
          <w:lang w:val="es-ES"/>
        </w:rPr>
      </w:pPr>
      <w:r w:rsidRPr="008D7F27">
        <w:rPr>
          <w:b/>
          <w:lang w:val="es-ES"/>
        </w:rPr>
        <w:t>Ventaja geoeconómica asociada a reservas, abundancia o posición de mercado (3):</w:t>
      </w:r>
      <w:r w:rsidRPr="008D7F27">
        <w:rPr>
          <w:lang w:val="es-ES"/>
        </w:rPr>
        <w:t xml:space="preserve"> </w:t>
      </w:r>
      <w:r w:rsidR="000C2745" w:rsidRPr="008D7F27">
        <w:rPr>
          <w:lang w:val="es-ES"/>
        </w:rPr>
        <w:t>s</w:t>
      </w:r>
      <w:r w:rsidRPr="008D7F27">
        <w:rPr>
          <w:lang w:val="es-ES"/>
        </w:rPr>
        <w:t xml:space="preserve">e vincula con la posición ventajosa del país frente al recurso y reúne las “ventajas comparativas por abundancia geológica y competitividad internacional” (Brasil), las “reservas codiciadas por países industrializados” (Argentina) y el “potencial de controlar el mercado global mediante recursos y/o reservas” (Indonesia). </w:t>
      </w:r>
    </w:p>
    <w:p w14:paraId="1E7739B6" w14:textId="77777777" w:rsidR="003D339C" w:rsidRPr="008D7F27" w:rsidRDefault="003D339C">
      <w:pPr>
        <w:numPr>
          <w:ilvl w:val="0"/>
          <w:numId w:val="6"/>
        </w:numPr>
        <w:rPr>
          <w:lang w:val="es-ES"/>
        </w:rPr>
      </w:pPr>
      <w:r w:rsidRPr="008D7F27">
        <w:rPr>
          <w:b/>
          <w:lang w:val="es-ES"/>
        </w:rPr>
        <w:t>Valor macroeconómico (3):</w:t>
      </w:r>
      <w:r w:rsidRPr="008D7F27">
        <w:rPr>
          <w:lang w:val="es-ES"/>
        </w:rPr>
        <w:t xml:space="preserve"> </w:t>
      </w:r>
      <w:r w:rsidR="000C2745" w:rsidRPr="008D7F27">
        <w:rPr>
          <w:lang w:val="es-ES"/>
        </w:rPr>
        <w:t>s</w:t>
      </w:r>
      <w:r w:rsidRPr="008D7F27">
        <w:rPr>
          <w:lang w:val="es-ES"/>
        </w:rPr>
        <w:t>e relaciona con el aporte del mineral a la prosperidad económica del país o a sus ingresos y divisas, y agrupa la “gran contribución a los ingresos estatales en el sector minero-mineral” (Indonesia), la “contribución dominante a las reservas de divisas del país” (Indonesia) y la “importancia fundamental para la prosperidad económica” (Turquía).</w:t>
      </w:r>
    </w:p>
    <w:p w14:paraId="5EEDB808" w14:textId="77777777" w:rsidR="003D339C" w:rsidRPr="008D7F27" w:rsidRDefault="003D339C">
      <w:pPr>
        <w:numPr>
          <w:ilvl w:val="0"/>
          <w:numId w:val="6"/>
        </w:numPr>
        <w:rPr>
          <w:lang w:val="es-ES"/>
        </w:rPr>
      </w:pPr>
      <w:r w:rsidRPr="008D7F27">
        <w:rPr>
          <w:b/>
          <w:lang w:val="es-ES"/>
        </w:rPr>
        <w:t>Dependencia importadora para sectores esenciales (1):</w:t>
      </w:r>
      <w:r w:rsidRPr="008D7F27">
        <w:rPr>
          <w:lang w:val="es-ES"/>
        </w:rPr>
        <w:t xml:space="preserve"> </w:t>
      </w:r>
      <w:r w:rsidR="000C2745" w:rsidRPr="008D7F27">
        <w:rPr>
          <w:lang w:val="es-ES"/>
        </w:rPr>
        <w:t>r</w:t>
      </w:r>
      <w:r w:rsidRPr="008D7F27">
        <w:rPr>
          <w:lang w:val="es-ES"/>
        </w:rPr>
        <w:t xml:space="preserve">efiere a minerales que el país necesita importar en grandes proporciones para abastecer sectores esenciales de su economía y agrupa la “dependencia de importaciones para abastecer sectores esenciales de la economía” (Brasil). </w:t>
      </w:r>
    </w:p>
    <w:p w14:paraId="60B9FE98" w14:textId="77777777" w:rsidR="003D339C" w:rsidRPr="008D7F27" w:rsidRDefault="003D339C">
      <w:pPr>
        <w:numPr>
          <w:ilvl w:val="0"/>
          <w:numId w:val="6"/>
        </w:numPr>
        <w:rPr>
          <w:lang w:val="es-ES"/>
        </w:rPr>
      </w:pPr>
      <w:r w:rsidRPr="008D7F27">
        <w:rPr>
          <w:b/>
          <w:lang w:val="es-ES"/>
        </w:rPr>
        <w:t>Seguridad nacional (1):</w:t>
      </w:r>
      <w:r w:rsidRPr="008D7F27">
        <w:rPr>
          <w:lang w:val="es-ES"/>
        </w:rPr>
        <w:t xml:space="preserve"> </w:t>
      </w:r>
      <w:r w:rsidR="000C2745" w:rsidRPr="008D7F27">
        <w:rPr>
          <w:lang w:val="es-ES"/>
        </w:rPr>
        <w:t>c</w:t>
      </w:r>
      <w:r w:rsidRPr="008D7F27">
        <w:rPr>
          <w:lang w:val="es-ES"/>
        </w:rPr>
        <w:t xml:space="preserve">orresponde a la referencia expresa a minerales de “importancia fundamental para la seguridad nacional” (Turquía). </w:t>
      </w:r>
    </w:p>
    <w:p w14:paraId="5A68F871" w14:textId="77777777" w:rsidR="003D339C" w:rsidRPr="008D7F27" w:rsidRDefault="003D339C">
      <w:pPr>
        <w:numPr>
          <w:ilvl w:val="0"/>
          <w:numId w:val="6"/>
        </w:numPr>
        <w:rPr>
          <w:lang w:val="es-ES"/>
        </w:rPr>
      </w:pPr>
      <w:r w:rsidRPr="008D7F27">
        <w:rPr>
          <w:b/>
          <w:lang w:val="es-ES"/>
        </w:rPr>
        <w:t>Restricción potencial del suministro (1):</w:t>
      </w:r>
      <w:r w:rsidRPr="008D7F27">
        <w:rPr>
          <w:lang w:val="es-ES"/>
        </w:rPr>
        <w:t xml:space="preserve"> </w:t>
      </w:r>
      <w:r w:rsidR="000C2745" w:rsidRPr="008D7F27">
        <w:rPr>
          <w:lang w:val="es-ES"/>
        </w:rPr>
        <w:t>h</w:t>
      </w:r>
      <w:r w:rsidRPr="008D7F27">
        <w:rPr>
          <w:lang w:val="es-ES"/>
        </w:rPr>
        <w:t xml:space="preserve">ace referencia a minerales “cuyo suministro puede verse restringido debido a factores internos o externos” (Turquía). </w:t>
      </w:r>
    </w:p>
    <w:p w14:paraId="080FDE1F" w14:textId="77777777" w:rsidR="003D339C" w:rsidRPr="008D7F27" w:rsidRDefault="00C52A27" w:rsidP="39B28450">
      <w:pPr>
        <w:pStyle w:val="Ttulo4"/>
        <w:rPr>
          <w:lang w:val="es-ES"/>
        </w:rPr>
      </w:pPr>
      <w:bookmarkStart w:id="20" w:name="_Toc225846072"/>
      <w:r w:rsidRPr="008D7F27">
        <w:rPr>
          <w:lang w:val="es-ES"/>
        </w:rPr>
        <w:t xml:space="preserve">Resultado </w:t>
      </w:r>
      <w:r w:rsidR="00813CAE" w:rsidRPr="008D7F27">
        <w:rPr>
          <w:lang w:val="es-ES"/>
        </w:rPr>
        <w:t>comparativo</w:t>
      </w:r>
      <w:r w:rsidR="00B52B80" w:rsidRPr="008D7F27">
        <w:rPr>
          <w:lang w:val="es-ES"/>
        </w:rPr>
        <w:t xml:space="preserve"> de conceptos</w:t>
      </w:r>
      <w:bookmarkEnd w:id="20"/>
      <w:r w:rsidR="00B10A32" w:rsidRPr="008D7F27">
        <w:rPr>
          <w:lang w:val="es-ES"/>
        </w:rPr>
        <w:t xml:space="preserve"> en economías de ingresos </w:t>
      </w:r>
      <w:r w:rsidR="005C6AF9" w:rsidRPr="008D7F27">
        <w:rPr>
          <w:lang w:val="es-ES"/>
        </w:rPr>
        <w:t>medios</w:t>
      </w:r>
    </w:p>
    <w:p w14:paraId="63C90148" w14:textId="77777777" w:rsidR="00F04F29" w:rsidRPr="008D7F27" w:rsidRDefault="00F04F29" w:rsidP="00537988">
      <w:pPr>
        <w:rPr>
          <w:lang w:val="es-ES"/>
        </w:rPr>
      </w:pPr>
      <w:r w:rsidRPr="008D7F27">
        <w:rPr>
          <w:lang w:val="es-ES"/>
        </w:rPr>
        <w:t xml:space="preserve">La revisión comparativa de los conceptos adoptados en las economías de ingresos medios permite </w:t>
      </w:r>
      <w:r w:rsidR="000C2745" w:rsidRPr="008D7F27">
        <w:rPr>
          <w:lang w:val="es-ES"/>
        </w:rPr>
        <w:t xml:space="preserve">identificar </w:t>
      </w:r>
      <w:r w:rsidRPr="008D7F27">
        <w:rPr>
          <w:lang w:val="es-ES"/>
        </w:rPr>
        <w:t xml:space="preserve">que no todos los países </w:t>
      </w:r>
      <w:r w:rsidR="000C2745" w:rsidRPr="008D7F27">
        <w:rPr>
          <w:lang w:val="es-ES"/>
        </w:rPr>
        <w:t xml:space="preserve">definen </w:t>
      </w:r>
      <w:r w:rsidRPr="008D7F27">
        <w:rPr>
          <w:lang w:val="es-ES"/>
        </w:rPr>
        <w:t>de la misma manera las categorías de minerales críticos y minerales estratégicos</w:t>
      </w:r>
      <w:r w:rsidR="000C2745" w:rsidRPr="008D7F27">
        <w:rPr>
          <w:lang w:val="es-ES"/>
        </w:rPr>
        <w:t>; sin embargo,</w:t>
      </w:r>
      <w:r w:rsidRPr="008D7F27">
        <w:rPr>
          <w:lang w:val="es-ES"/>
        </w:rPr>
        <w:t xml:space="preserve"> es posible identificar un conjunto de núcleos conceptuales recurrentes que permiten </w:t>
      </w:r>
      <w:r w:rsidR="004507AD" w:rsidRPr="008D7F27">
        <w:rPr>
          <w:lang w:val="es-ES"/>
        </w:rPr>
        <w:t xml:space="preserve">la interpretación de </w:t>
      </w:r>
      <w:r w:rsidRPr="008D7F27">
        <w:rPr>
          <w:lang w:val="es-ES"/>
        </w:rPr>
        <w:t xml:space="preserve">la relevancia de ciertos minerales dentro de </w:t>
      </w:r>
      <w:r w:rsidR="004507AD" w:rsidRPr="008D7F27">
        <w:rPr>
          <w:lang w:val="es-ES"/>
        </w:rPr>
        <w:t xml:space="preserve">las </w:t>
      </w:r>
      <w:r w:rsidRPr="008D7F27">
        <w:rPr>
          <w:lang w:val="es-ES"/>
        </w:rPr>
        <w:t>economías</w:t>
      </w:r>
      <w:r w:rsidR="004507AD" w:rsidRPr="008D7F27">
        <w:rPr>
          <w:lang w:val="es-ES"/>
        </w:rPr>
        <w:t xml:space="preserve"> analizadas</w:t>
      </w:r>
      <w:r w:rsidRPr="008D7F27">
        <w:rPr>
          <w:lang w:val="es-ES"/>
        </w:rPr>
        <w:t>, sus sectores productivos y sus prioridades estatales.</w:t>
      </w:r>
    </w:p>
    <w:p w14:paraId="314325F0" w14:textId="77777777" w:rsidR="00F04F29" w:rsidRPr="008D7F27" w:rsidRDefault="004507AD" w:rsidP="00537988">
      <w:pPr>
        <w:rPr>
          <w:lang w:val="es-ES"/>
        </w:rPr>
      </w:pPr>
      <w:r w:rsidRPr="008D7F27">
        <w:rPr>
          <w:lang w:val="es-ES"/>
        </w:rPr>
        <w:t>Se identific</w:t>
      </w:r>
      <w:r w:rsidR="000F43C6" w:rsidRPr="008D7F27">
        <w:rPr>
          <w:lang w:val="es-ES"/>
        </w:rPr>
        <w:t>a</w:t>
      </w:r>
      <w:r w:rsidRPr="008D7F27">
        <w:rPr>
          <w:lang w:val="es-ES"/>
        </w:rPr>
        <w:t xml:space="preserve"> que, a pesar de encontrar diferencias</w:t>
      </w:r>
      <w:r w:rsidR="00F04F29" w:rsidRPr="008D7F27">
        <w:rPr>
          <w:lang w:val="es-ES"/>
        </w:rPr>
        <w:t xml:space="preserve"> </w:t>
      </w:r>
      <w:r w:rsidR="00295450" w:rsidRPr="008D7F27">
        <w:rPr>
          <w:lang w:val="es-ES"/>
        </w:rPr>
        <w:t xml:space="preserve">metodológicas </w:t>
      </w:r>
      <w:r w:rsidRPr="008D7F27">
        <w:rPr>
          <w:lang w:val="es-ES"/>
        </w:rPr>
        <w:t>para la definición de minerales críticos y/o estratégicos, la determinación de los mismos se construye considerando variables relacionadas con</w:t>
      </w:r>
      <w:r w:rsidR="00F04F29" w:rsidRPr="008D7F27">
        <w:rPr>
          <w:lang w:val="es-ES"/>
        </w:rPr>
        <w:t xml:space="preserve">: abastecimiento, economía, función </w:t>
      </w:r>
      <w:r w:rsidR="00F04F29" w:rsidRPr="008D7F27">
        <w:rPr>
          <w:lang w:val="es-ES"/>
        </w:rPr>
        <w:lastRenderedPageBreak/>
        <w:t>productiva, seguridad, posición del país frente al recurso y capacidad de aprovechamiento nacional.</w:t>
      </w:r>
    </w:p>
    <w:p w14:paraId="7813288C" w14:textId="6017D601" w:rsidR="00F04F29" w:rsidRPr="008D7F27" w:rsidRDefault="00295450" w:rsidP="1CB34332">
      <w:pPr>
        <w:rPr>
          <w:lang w:val="es-ES"/>
        </w:rPr>
      </w:pPr>
      <w:r w:rsidRPr="008D7F27">
        <w:rPr>
          <w:lang w:val="es-ES"/>
        </w:rPr>
        <w:t xml:space="preserve">Por lo anterior, </w:t>
      </w:r>
      <w:r w:rsidR="00F04F29" w:rsidRPr="008D7F27">
        <w:rPr>
          <w:lang w:val="es-ES"/>
        </w:rPr>
        <w:t xml:space="preserve">el conjunto de variables identificadas en ambos conceptos </w:t>
      </w:r>
      <w:r w:rsidRPr="008D7F27">
        <w:rPr>
          <w:lang w:val="es-ES"/>
        </w:rPr>
        <w:t>se reorganiz</w:t>
      </w:r>
      <w:r w:rsidR="000F43C6" w:rsidRPr="008D7F27">
        <w:rPr>
          <w:lang w:val="es-ES"/>
        </w:rPr>
        <w:t>a</w:t>
      </w:r>
      <w:r w:rsidRPr="008D7F27">
        <w:rPr>
          <w:lang w:val="es-ES"/>
        </w:rPr>
        <w:t xml:space="preserve"> </w:t>
      </w:r>
      <w:r w:rsidR="00F04F29" w:rsidRPr="008D7F27">
        <w:rPr>
          <w:lang w:val="es-ES"/>
        </w:rPr>
        <w:t xml:space="preserve">en </w:t>
      </w:r>
      <w:r w:rsidR="009B5FE8" w:rsidRPr="008D7F27">
        <w:rPr>
          <w:lang w:val="es-ES"/>
        </w:rPr>
        <w:t>un solo listado</w:t>
      </w:r>
      <w:r w:rsidR="00F04F29" w:rsidRPr="008D7F27">
        <w:rPr>
          <w:lang w:val="es-ES"/>
        </w:rPr>
        <w:t xml:space="preserve"> </w:t>
      </w:r>
      <w:r w:rsidRPr="008D7F27">
        <w:rPr>
          <w:lang w:val="es-ES"/>
        </w:rPr>
        <w:t>acorde con su</w:t>
      </w:r>
      <w:r w:rsidR="009B5FE8" w:rsidRPr="008D7F27">
        <w:rPr>
          <w:lang w:val="es-ES"/>
        </w:rPr>
        <w:t xml:space="preserve"> </w:t>
      </w:r>
      <w:r w:rsidR="00EA7F2E">
        <w:rPr>
          <w:lang w:val="es-ES"/>
        </w:rPr>
        <w:t>Recurrencia</w:t>
      </w:r>
      <w:r w:rsidR="009B5FE8" w:rsidRPr="008D7F27">
        <w:rPr>
          <w:lang w:val="es-ES"/>
        </w:rPr>
        <w:t>,</w:t>
      </w:r>
      <w:r w:rsidR="00F04F29" w:rsidRPr="008D7F27">
        <w:rPr>
          <w:lang w:val="es-ES"/>
        </w:rPr>
        <w:t xml:space="preserve"> </w:t>
      </w:r>
      <w:r w:rsidRPr="008D7F27">
        <w:rPr>
          <w:lang w:val="es-ES"/>
        </w:rPr>
        <w:t>tal como se muestra a continuación:</w:t>
      </w:r>
    </w:p>
    <w:p w14:paraId="12078430" w14:textId="77777777" w:rsidR="00B25C2E" w:rsidRPr="008D7F27" w:rsidRDefault="00B25C2E">
      <w:pPr>
        <w:pStyle w:val="Prrafodelista"/>
        <w:numPr>
          <w:ilvl w:val="0"/>
          <w:numId w:val="8"/>
        </w:numPr>
        <w:rPr>
          <w:lang w:val="es-ES"/>
        </w:rPr>
      </w:pPr>
      <w:r w:rsidRPr="008D7F27">
        <w:rPr>
          <w:b/>
          <w:lang w:val="es-ES"/>
        </w:rPr>
        <w:t>Abastecimiento, vulnerabilidad o restricción del suministro (9):</w:t>
      </w:r>
      <w:r w:rsidRPr="008D7F27">
        <w:rPr>
          <w:lang w:val="es-ES"/>
        </w:rPr>
        <w:t xml:space="preserve"> </w:t>
      </w:r>
      <w:r w:rsidR="00772A70" w:rsidRPr="008D7F27">
        <w:rPr>
          <w:lang w:val="es-ES"/>
        </w:rPr>
        <w:t>a</w:t>
      </w:r>
      <w:r w:rsidRPr="008D7F27">
        <w:rPr>
          <w:lang w:val="es-ES"/>
        </w:rPr>
        <w:t>grupa los elementos relacionados con riesgo de escasez, alto riesgo de abastecimiento o suministro, vulnerabilidad de la cadena o de la seguridad del suministro, grandes aumentos de precios, restricción potencial del suministro y dependencia importadora para sectores esenciales.</w:t>
      </w:r>
    </w:p>
    <w:p w14:paraId="4566EC8B" w14:textId="77777777" w:rsidR="00B25C2E" w:rsidRPr="008D7F27" w:rsidRDefault="00B25C2E">
      <w:pPr>
        <w:pStyle w:val="Prrafodelista"/>
        <w:numPr>
          <w:ilvl w:val="0"/>
          <w:numId w:val="8"/>
        </w:numPr>
        <w:rPr>
          <w:lang w:val="es-ES"/>
        </w:rPr>
      </w:pPr>
      <w:r w:rsidRPr="008D7F27">
        <w:rPr>
          <w:b/>
          <w:lang w:val="es-ES"/>
        </w:rPr>
        <w:t>Importancia o valor económico y macroeconómico (8):</w:t>
      </w:r>
      <w:r w:rsidRPr="008D7F27">
        <w:rPr>
          <w:lang w:val="es-ES"/>
        </w:rPr>
        <w:t xml:space="preserve"> </w:t>
      </w:r>
      <w:r w:rsidR="00772A70" w:rsidRPr="008D7F27">
        <w:rPr>
          <w:lang w:val="es-ES"/>
        </w:rPr>
        <w:t>r</w:t>
      </w:r>
      <w:r w:rsidRPr="008D7F27">
        <w:rPr>
          <w:lang w:val="es-ES"/>
        </w:rPr>
        <w:t>eúne las referencias asociadas al impacto económico del mineral, su valor para la economía, su contribución al desarrollo económico general, los problemas económicos derivados de su interrupción, así como su aporte a la prosperidad económica, los ingresos estatales y las divisas.</w:t>
      </w:r>
    </w:p>
    <w:p w14:paraId="188D78CD" w14:textId="77777777" w:rsidR="00B25C2E" w:rsidRPr="008D7F27" w:rsidRDefault="00B25C2E">
      <w:pPr>
        <w:pStyle w:val="Prrafodelista"/>
        <w:numPr>
          <w:ilvl w:val="0"/>
          <w:numId w:val="8"/>
        </w:numPr>
        <w:rPr>
          <w:lang w:val="es-ES"/>
        </w:rPr>
      </w:pPr>
      <w:r w:rsidRPr="008D7F27">
        <w:rPr>
          <w:b/>
          <w:lang w:val="es-ES"/>
        </w:rPr>
        <w:t>Función productiva, industrial y tecnológica del país (7):</w:t>
      </w:r>
      <w:r w:rsidRPr="008D7F27">
        <w:rPr>
          <w:lang w:val="es-ES"/>
        </w:rPr>
        <w:t xml:space="preserve"> </w:t>
      </w:r>
      <w:r w:rsidR="00772A70" w:rsidRPr="008D7F27">
        <w:rPr>
          <w:lang w:val="es-ES"/>
        </w:rPr>
        <w:t>i</w:t>
      </w:r>
      <w:r w:rsidRPr="008D7F27">
        <w:rPr>
          <w:lang w:val="es-ES"/>
        </w:rPr>
        <w:t>ntegra las variables que vinculan el mineral con la base productiva e industrial, las industrias estratégicas, la alta tecnología, la transición energética, las innovaciones asociadas a la economía verde y su capacidad de apalancar el desarrollo nacional.</w:t>
      </w:r>
    </w:p>
    <w:p w14:paraId="065FFDF5" w14:textId="77777777" w:rsidR="00B25C2E" w:rsidRPr="008D7F27" w:rsidRDefault="00B25C2E">
      <w:pPr>
        <w:pStyle w:val="Prrafodelista"/>
        <w:numPr>
          <w:ilvl w:val="0"/>
          <w:numId w:val="8"/>
        </w:numPr>
        <w:rPr>
          <w:lang w:val="es-ES"/>
        </w:rPr>
      </w:pPr>
      <w:r w:rsidRPr="008D7F27">
        <w:rPr>
          <w:b/>
          <w:lang w:val="es-ES"/>
        </w:rPr>
        <w:t xml:space="preserve">Seguridad nacional o defensa (4): </w:t>
      </w:r>
      <w:r w:rsidR="00772A70" w:rsidRPr="008D7F27">
        <w:rPr>
          <w:lang w:val="es-ES"/>
        </w:rPr>
        <w:t>a</w:t>
      </w:r>
      <w:r w:rsidRPr="008D7F27">
        <w:rPr>
          <w:lang w:val="es-ES"/>
        </w:rPr>
        <w:t>grupa las referencias expresas a seguridad nacional, defensa y protección de intereses estratégicos del Estado.</w:t>
      </w:r>
    </w:p>
    <w:p w14:paraId="2B9E5D4C" w14:textId="77777777" w:rsidR="00B25C2E" w:rsidRPr="008D7F27" w:rsidRDefault="00B25C2E">
      <w:pPr>
        <w:pStyle w:val="Prrafodelista"/>
        <w:numPr>
          <w:ilvl w:val="0"/>
          <w:numId w:val="8"/>
        </w:numPr>
        <w:rPr>
          <w:lang w:val="es-ES"/>
        </w:rPr>
      </w:pPr>
      <w:r w:rsidRPr="008D7F27">
        <w:rPr>
          <w:b/>
          <w:lang w:val="es-ES"/>
        </w:rPr>
        <w:t>Ventaja geoeconómica asociada a reservas, abundancia o posición de mercado (</w:t>
      </w:r>
      <w:r w:rsidR="00106417" w:rsidRPr="008D7F27">
        <w:rPr>
          <w:b/>
          <w:lang w:val="es-ES"/>
        </w:rPr>
        <w:t>4</w:t>
      </w:r>
      <w:r w:rsidRPr="008D7F27">
        <w:rPr>
          <w:b/>
          <w:lang w:val="es-ES"/>
        </w:rPr>
        <w:t xml:space="preserve">): </w:t>
      </w:r>
      <w:r w:rsidR="00772A70" w:rsidRPr="008D7F27">
        <w:rPr>
          <w:lang w:val="es-ES"/>
        </w:rPr>
        <w:t>r</w:t>
      </w:r>
      <w:r w:rsidRPr="008D7F27">
        <w:rPr>
          <w:lang w:val="es-ES"/>
        </w:rPr>
        <w:t>eúne las variables ligadas a ventajas comparativas por abundancia geológica, reservas codiciadas por otras economías y potencial de controlar mercados a partir del dominio de recursos o reservas.</w:t>
      </w:r>
    </w:p>
    <w:p w14:paraId="756DF669" w14:textId="77777777" w:rsidR="00B25C2E" w:rsidRPr="008D7F27" w:rsidRDefault="00B25C2E">
      <w:pPr>
        <w:pStyle w:val="Prrafodelista"/>
        <w:numPr>
          <w:ilvl w:val="0"/>
          <w:numId w:val="8"/>
        </w:numPr>
        <w:rPr>
          <w:lang w:val="es-ES"/>
        </w:rPr>
      </w:pPr>
      <w:r w:rsidRPr="008D7F27">
        <w:rPr>
          <w:b/>
          <w:lang w:val="es-ES"/>
        </w:rPr>
        <w:t>Suministro global de minerales demandados (2):</w:t>
      </w:r>
      <w:r w:rsidRPr="008D7F27">
        <w:rPr>
          <w:lang w:val="es-ES"/>
        </w:rPr>
        <w:t xml:space="preserve"> </w:t>
      </w:r>
      <w:r w:rsidR="00772A70" w:rsidRPr="008D7F27">
        <w:rPr>
          <w:lang w:val="es-ES"/>
        </w:rPr>
        <w:t>c</w:t>
      </w:r>
      <w:r w:rsidRPr="008D7F27">
        <w:rPr>
          <w:lang w:val="es-ES"/>
        </w:rPr>
        <w:t>omprende la participación consolidada o potencial del país en el suministro global del mineral y el reconocimiento de este por economías relevantes.</w:t>
      </w:r>
    </w:p>
    <w:p w14:paraId="16931721" w14:textId="77777777" w:rsidR="00B25C2E" w:rsidRPr="008D7F27" w:rsidRDefault="00B25C2E">
      <w:pPr>
        <w:pStyle w:val="Prrafodelista"/>
        <w:numPr>
          <w:ilvl w:val="0"/>
          <w:numId w:val="8"/>
        </w:numPr>
        <w:rPr>
          <w:lang w:val="es-ES"/>
        </w:rPr>
      </w:pPr>
      <w:r w:rsidRPr="008D7F27">
        <w:rPr>
          <w:b/>
          <w:lang w:val="es-ES"/>
        </w:rPr>
        <w:t>Ausencia de sustitutos viables (1):</w:t>
      </w:r>
      <w:r w:rsidRPr="008D7F27">
        <w:rPr>
          <w:lang w:val="es-ES"/>
        </w:rPr>
        <w:t xml:space="preserve"> </w:t>
      </w:r>
      <w:r w:rsidR="00772A70" w:rsidRPr="008D7F27">
        <w:rPr>
          <w:lang w:val="es-ES"/>
        </w:rPr>
        <w:t>c</w:t>
      </w:r>
      <w:r w:rsidRPr="008D7F27">
        <w:rPr>
          <w:lang w:val="es-ES"/>
        </w:rPr>
        <w:t>orresponde a la imposibilidad de reemplazar determinados minerales sin afectar su función económica, industrial o tecnológica.</w:t>
      </w:r>
    </w:p>
    <w:p w14:paraId="23EAFF91" w14:textId="77777777" w:rsidR="00F04F29" w:rsidRPr="008D7F27" w:rsidRDefault="00B25C2E">
      <w:pPr>
        <w:pStyle w:val="Prrafodelista"/>
        <w:numPr>
          <w:ilvl w:val="0"/>
          <w:numId w:val="8"/>
        </w:numPr>
        <w:rPr>
          <w:lang w:val="es-ES"/>
        </w:rPr>
      </w:pPr>
      <w:r w:rsidRPr="008D7F27">
        <w:rPr>
          <w:b/>
          <w:lang w:val="es-ES"/>
        </w:rPr>
        <w:t>Empleo (1):</w:t>
      </w:r>
      <w:r w:rsidRPr="008D7F27">
        <w:rPr>
          <w:lang w:val="es-ES"/>
        </w:rPr>
        <w:t xml:space="preserve"> </w:t>
      </w:r>
      <w:r w:rsidR="00772A70" w:rsidRPr="008D7F27">
        <w:rPr>
          <w:lang w:val="es-ES"/>
        </w:rPr>
        <w:t>r</w:t>
      </w:r>
      <w:r w:rsidRPr="008D7F27">
        <w:rPr>
          <w:lang w:val="es-ES"/>
        </w:rPr>
        <w:t>efiere a la capacidad del mineral para contribuir a la creación de empleo.</w:t>
      </w:r>
    </w:p>
    <w:p w14:paraId="095B2875" w14:textId="77777777" w:rsidR="00F04F29" w:rsidRPr="008D7F27" w:rsidRDefault="001D5B72" w:rsidP="00537988">
      <w:pPr>
        <w:rPr>
          <w:lang w:val="es-ES"/>
        </w:rPr>
      </w:pPr>
      <w:r w:rsidRPr="008D7F27">
        <w:rPr>
          <w:lang w:val="es-ES"/>
        </w:rPr>
        <w:t>En la</w:t>
      </w:r>
      <w:r w:rsidR="00F04F29" w:rsidRPr="008D7F27">
        <w:rPr>
          <w:lang w:val="es-ES"/>
        </w:rPr>
        <w:t xml:space="preserve"> </w:t>
      </w:r>
      <w:r w:rsidR="009B5FE8" w:rsidRPr="008D7F27">
        <w:rPr>
          <w:lang w:val="es-ES"/>
        </w:rPr>
        <w:t xml:space="preserve">lista </w:t>
      </w:r>
      <w:r w:rsidRPr="008D7F27">
        <w:rPr>
          <w:lang w:val="es-ES"/>
        </w:rPr>
        <w:t>se</w:t>
      </w:r>
      <w:r w:rsidR="00F04F29" w:rsidRPr="008D7F27">
        <w:rPr>
          <w:lang w:val="es-ES"/>
        </w:rPr>
        <w:t xml:space="preserve"> observ</w:t>
      </w:r>
      <w:r w:rsidRPr="008D7F27">
        <w:rPr>
          <w:lang w:val="es-ES"/>
        </w:rPr>
        <w:t>a</w:t>
      </w:r>
      <w:r w:rsidR="00F04F29" w:rsidRPr="008D7F27">
        <w:rPr>
          <w:lang w:val="es-ES"/>
        </w:rPr>
        <w:t xml:space="preserve"> que, los elementos más cercanos a la noción de criticidad son aquellos vinculados con la vulnerabilidad del suministro, la afectación económica derivada de una eventual interrupción, la ausencia de sustitutos y, en ciertos casos, la concentración geográfica del recurso. En este grupo de países, la criticidad aparece fuertemente asociada a la idea de exposición al </w:t>
      </w:r>
      <w:r w:rsidRPr="008D7F27">
        <w:rPr>
          <w:lang w:val="es-ES"/>
        </w:rPr>
        <w:t>riesgo de</w:t>
      </w:r>
      <w:r w:rsidR="00F04F29" w:rsidRPr="008D7F27">
        <w:rPr>
          <w:lang w:val="es-ES"/>
        </w:rPr>
        <w:t xml:space="preserve"> escasez, de interrupción, </w:t>
      </w:r>
      <w:r w:rsidR="00F04F29" w:rsidRPr="008D7F27">
        <w:rPr>
          <w:lang w:val="es-ES"/>
        </w:rPr>
        <w:lastRenderedPageBreak/>
        <w:t xml:space="preserve">de </w:t>
      </w:r>
      <w:r w:rsidRPr="008D7F27">
        <w:rPr>
          <w:lang w:val="es-ES"/>
        </w:rPr>
        <w:t xml:space="preserve">desequilibrio </w:t>
      </w:r>
      <w:r w:rsidR="00F04F29" w:rsidRPr="008D7F27">
        <w:rPr>
          <w:lang w:val="es-ES"/>
        </w:rPr>
        <w:t xml:space="preserve">entre oferta y </w:t>
      </w:r>
      <w:r w:rsidR="008D7F27" w:rsidRPr="008D7F27">
        <w:rPr>
          <w:lang w:val="es-ES"/>
        </w:rPr>
        <w:t>demanda, de</w:t>
      </w:r>
      <w:r w:rsidR="00F04F29" w:rsidRPr="008D7F27">
        <w:rPr>
          <w:lang w:val="es-ES"/>
        </w:rPr>
        <w:t xml:space="preserve"> afectación </w:t>
      </w:r>
      <w:r w:rsidRPr="008D7F27">
        <w:rPr>
          <w:lang w:val="es-ES"/>
        </w:rPr>
        <w:t xml:space="preserve">a </w:t>
      </w:r>
      <w:r w:rsidR="00F04F29" w:rsidRPr="008D7F27">
        <w:rPr>
          <w:lang w:val="es-ES"/>
        </w:rPr>
        <w:t>la economía</w:t>
      </w:r>
      <w:r w:rsidRPr="008D7F27">
        <w:rPr>
          <w:lang w:val="es-ES"/>
        </w:rPr>
        <w:t>,</w:t>
      </w:r>
      <w:r w:rsidR="00F04F29" w:rsidRPr="008D7F27">
        <w:rPr>
          <w:lang w:val="es-ES"/>
        </w:rPr>
        <w:t xml:space="preserve"> y de las cadenas productivas nacionales.</w:t>
      </w:r>
    </w:p>
    <w:p w14:paraId="092BCEA0" w14:textId="77777777" w:rsidR="00F04F29" w:rsidRPr="008D7F27" w:rsidRDefault="001D5B72" w:rsidP="00537988">
      <w:pPr>
        <w:rPr>
          <w:lang w:val="es-ES"/>
        </w:rPr>
      </w:pPr>
      <w:r w:rsidRPr="008D7F27">
        <w:rPr>
          <w:lang w:val="es-ES"/>
        </w:rPr>
        <w:t>De</w:t>
      </w:r>
      <w:r w:rsidR="00F04F29" w:rsidRPr="008D7F27">
        <w:rPr>
          <w:lang w:val="es-ES"/>
        </w:rPr>
        <w:t xml:space="preserve"> otra parte, los elementos que se acercan más a la noción de lo estratégico son aquellos relacionados con la función productiva, industrial y tecnológica del país, la ventaja geoeconómica derivada de reservas</w:t>
      </w:r>
      <w:r w:rsidRPr="008D7F27">
        <w:rPr>
          <w:lang w:val="es-ES"/>
        </w:rPr>
        <w:t xml:space="preserve"> minerales</w:t>
      </w:r>
      <w:r w:rsidR="00F04F29" w:rsidRPr="008D7F27">
        <w:rPr>
          <w:lang w:val="es-ES"/>
        </w:rPr>
        <w:t>, posición de mercado, valor macroeconómico</w:t>
      </w:r>
      <w:r w:rsidRPr="008D7F27">
        <w:rPr>
          <w:lang w:val="es-ES"/>
        </w:rPr>
        <w:t>,</w:t>
      </w:r>
      <w:r w:rsidR="00F04F29" w:rsidRPr="008D7F27">
        <w:rPr>
          <w:lang w:val="es-ES"/>
        </w:rPr>
        <w:t xml:space="preserve"> y la dependencia importadora para abastecer sectores esenciales. </w:t>
      </w:r>
      <w:r w:rsidRPr="008D7F27">
        <w:rPr>
          <w:lang w:val="es-ES"/>
        </w:rPr>
        <w:t>Al considerar dichos elementos</w:t>
      </w:r>
      <w:r w:rsidR="00F04F29" w:rsidRPr="008D7F27">
        <w:rPr>
          <w:lang w:val="es-ES"/>
        </w:rPr>
        <w:t xml:space="preserve">, </w:t>
      </w:r>
      <w:r w:rsidRPr="008D7F27">
        <w:rPr>
          <w:lang w:val="es-ES"/>
        </w:rPr>
        <w:t>los minerales</w:t>
      </w:r>
      <w:r w:rsidR="00F04F29" w:rsidRPr="008D7F27">
        <w:rPr>
          <w:lang w:val="es-ES"/>
        </w:rPr>
        <w:t xml:space="preserve"> no se </w:t>
      </w:r>
      <w:r w:rsidRPr="008D7F27">
        <w:rPr>
          <w:lang w:val="es-ES"/>
        </w:rPr>
        <w:t xml:space="preserve">determinan </w:t>
      </w:r>
      <w:r w:rsidR="00F04F29" w:rsidRPr="008D7F27">
        <w:rPr>
          <w:lang w:val="es-ES"/>
        </w:rPr>
        <w:t>principalmente por el riesgo que genera su escasez, sino por el valor que representa para fortalecer la estructura económica, industrial, tecnológica o fiscal del país.</w:t>
      </w:r>
    </w:p>
    <w:p w14:paraId="70A2737D" w14:textId="77777777" w:rsidR="00F04F29" w:rsidRPr="008D7F27" w:rsidRDefault="000642AC" w:rsidP="00537988">
      <w:pPr>
        <w:rPr>
          <w:lang w:val="es-ES"/>
        </w:rPr>
      </w:pPr>
      <w:r w:rsidRPr="008D7F27">
        <w:rPr>
          <w:lang w:val="es-ES"/>
        </w:rPr>
        <w:t xml:space="preserve">Además, </w:t>
      </w:r>
      <w:r w:rsidR="00F04F29" w:rsidRPr="008D7F27">
        <w:rPr>
          <w:lang w:val="es-ES"/>
        </w:rPr>
        <w:t xml:space="preserve">el ejercicio comparado muestra </w:t>
      </w:r>
      <w:r w:rsidR="00AE6692" w:rsidRPr="008D7F27">
        <w:rPr>
          <w:lang w:val="es-ES"/>
        </w:rPr>
        <w:t>que,</w:t>
      </w:r>
      <w:r w:rsidR="00F04F29" w:rsidRPr="008D7F27">
        <w:rPr>
          <w:lang w:val="es-ES"/>
        </w:rPr>
        <w:t xml:space="preserve"> entre </w:t>
      </w:r>
      <w:r w:rsidRPr="008D7F27">
        <w:rPr>
          <w:lang w:val="es-ES"/>
        </w:rPr>
        <w:t>los conceptos de criticidad y estratégico, existe</w:t>
      </w:r>
      <w:r w:rsidR="00F04F29" w:rsidRPr="008D7F27">
        <w:rPr>
          <w:lang w:val="es-ES"/>
        </w:rPr>
        <w:t xml:space="preserve"> una zona de intersección clara, compuesta principalmente por </w:t>
      </w:r>
      <w:r w:rsidRPr="008D7F27">
        <w:rPr>
          <w:lang w:val="es-ES"/>
        </w:rPr>
        <w:t xml:space="preserve">los siguientes </w:t>
      </w:r>
      <w:r w:rsidR="00F04F29" w:rsidRPr="008D7F27">
        <w:rPr>
          <w:lang w:val="es-ES"/>
        </w:rPr>
        <w:t>elementos:</w:t>
      </w:r>
    </w:p>
    <w:p w14:paraId="2335786D" w14:textId="77777777" w:rsidR="00F04F29" w:rsidRPr="008D7F27" w:rsidRDefault="000642AC">
      <w:pPr>
        <w:pStyle w:val="Prrafodelista"/>
        <w:numPr>
          <w:ilvl w:val="0"/>
          <w:numId w:val="11"/>
        </w:numPr>
        <w:rPr>
          <w:lang w:val="es-ES"/>
        </w:rPr>
      </w:pPr>
      <w:r w:rsidRPr="008D7F27">
        <w:rPr>
          <w:lang w:val="es-ES"/>
        </w:rPr>
        <w:t>L</w:t>
      </w:r>
      <w:r w:rsidR="00F04F29" w:rsidRPr="008D7F27">
        <w:rPr>
          <w:lang w:val="es-ES"/>
        </w:rPr>
        <w:t>a importancia económica del mineral</w:t>
      </w:r>
      <w:r w:rsidRPr="008D7F27">
        <w:rPr>
          <w:lang w:val="es-ES"/>
        </w:rPr>
        <w:t>.</w:t>
      </w:r>
      <w:r w:rsidR="00F04F29" w:rsidRPr="008D7F27">
        <w:rPr>
          <w:lang w:val="es-ES"/>
        </w:rPr>
        <w:t xml:space="preserve"> </w:t>
      </w:r>
    </w:p>
    <w:p w14:paraId="5559A45F" w14:textId="77777777" w:rsidR="00F04F29" w:rsidRPr="008D7F27" w:rsidRDefault="000642AC">
      <w:pPr>
        <w:pStyle w:val="Prrafodelista"/>
        <w:numPr>
          <w:ilvl w:val="0"/>
          <w:numId w:val="11"/>
        </w:numPr>
        <w:rPr>
          <w:lang w:val="es-ES"/>
        </w:rPr>
      </w:pPr>
      <w:r w:rsidRPr="008D7F27">
        <w:rPr>
          <w:lang w:val="es-ES"/>
        </w:rPr>
        <w:t>S</w:t>
      </w:r>
      <w:r w:rsidR="00F04F29" w:rsidRPr="008D7F27">
        <w:rPr>
          <w:lang w:val="es-ES"/>
        </w:rPr>
        <w:t>u función para la base productiva e industrial</w:t>
      </w:r>
      <w:r w:rsidRPr="008D7F27">
        <w:rPr>
          <w:lang w:val="es-ES"/>
        </w:rPr>
        <w:t>.</w:t>
      </w:r>
      <w:r w:rsidR="00F04F29" w:rsidRPr="008D7F27">
        <w:rPr>
          <w:lang w:val="es-ES"/>
        </w:rPr>
        <w:t xml:space="preserve">  </w:t>
      </w:r>
    </w:p>
    <w:p w14:paraId="6B03A1E2" w14:textId="77777777" w:rsidR="00F04F29" w:rsidRPr="008D7F27" w:rsidRDefault="000642AC">
      <w:pPr>
        <w:pStyle w:val="Prrafodelista"/>
        <w:numPr>
          <w:ilvl w:val="0"/>
          <w:numId w:val="11"/>
        </w:numPr>
        <w:rPr>
          <w:lang w:val="es-ES"/>
        </w:rPr>
      </w:pPr>
      <w:r w:rsidRPr="008D7F27">
        <w:rPr>
          <w:lang w:val="es-ES"/>
        </w:rPr>
        <w:t>S</w:t>
      </w:r>
      <w:r w:rsidR="00F04F29" w:rsidRPr="008D7F27">
        <w:rPr>
          <w:lang w:val="es-ES"/>
        </w:rPr>
        <w:t xml:space="preserve">u eventual relación con la seguridad nacional. </w:t>
      </w:r>
    </w:p>
    <w:p w14:paraId="05663EFC" w14:textId="77777777" w:rsidR="00F04F29" w:rsidRPr="008D7F27" w:rsidRDefault="00F04F29" w:rsidP="00537988">
      <w:pPr>
        <w:rPr>
          <w:lang w:val="es-ES"/>
        </w:rPr>
      </w:pPr>
      <w:r w:rsidRPr="008D7F27">
        <w:rPr>
          <w:lang w:val="es-ES"/>
        </w:rPr>
        <w:t>Es</w:t>
      </w:r>
      <w:r w:rsidR="000642AC" w:rsidRPr="008D7F27">
        <w:rPr>
          <w:lang w:val="es-ES"/>
        </w:rPr>
        <w:t xml:space="preserve">tas coincidencias hacen que las diferencias entre los conceptos de criticidad y estratégico no siempre sean lejanas, toda vez que ambos conceptos coinciden con </w:t>
      </w:r>
      <w:r w:rsidRPr="008D7F27">
        <w:rPr>
          <w:lang w:val="es-ES"/>
        </w:rPr>
        <w:t xml:space="preserve">la relevancia del mineral para el Estado y la economía, pero </w:t>
      </w:r>
      <w:r w:rsidR="000642AC" w:rsidRPr="008D7F27">
        <w:rPr>
          <w:lang w:val="es-ES"/>
        </w:rPr>
        <w:t xml:space="preserve">los separa la </w:t>
      </w:r>
      <w:r w:rsidRPr="008D7F27">
        <w:rPr>
          <w:lang w:val="es-ES"/>
        </w:rPr>
        <w:t xml:space="preserve">relevancia </w:t>
      </w:r>
      <w:r w:rsidR="000642AC" w:rsidRPr="008D7F27">
        <w:rPr>
          <w:lang w:val="es-ES"/>
        </w:rPr>
        <w:t>que puedan tener algunos minerales para cada uno de los países, destacando</w:t>
      </w:r>
      <w:r w:rsidRPr="008D7F27">
        <w:rPr>
          <w:lang w:val="es-ES"/>
        </w:rPr>
        <w:t>: la criticidad desde la vulnerabilidad o el riesgo, y lo estratégico desde el valor estructural o la oportunidad nacional.</w:t>
      </w:r>
    </w:p>
    <w:p w14:paraId="3E8B01F8" w14:textId="77777777" w:rsidR="009B5FE8" w:rsidRPr="008D7F27" w:rsidRDefault="00F04F29" w:rsidP="00537988">
      <w:pPr>
        <w:rPr>
          <w:lang w:val="es-ES"/>
        </w:rPr>
      </w:pPr>
      <w:r w:rsidRPr="008D7F27">
        <w:rPr>
          <w:lang w:val="es-ES"/>
        </w:rPr>
        <w:t xml:space="preserve">En términos comparativos, </w:t>
      </w:r>
      <w:r w:rsidR="00FE6EB1" w:rsidRPr="008D7F27">
        <w:rPr>
          <w:lang w:val="es-ES"/>
        </w:rPr>
        <w:t xml:space="preserve">dentro de los </w:t>
      </w:r>
      <w:r w:rsidRPr="008D7F27">
        <w:rPr>
          <w:lang w:val="es-ES"/>
        </w:rPr>
        <w:t>resultado</w:t>
      </w:r>
      <w:r w:rsidR="00FE6EB1" w:rsidRPr="008D7F27">
        <w:rPr>
          <w:lang w:val="es-ES"/>
        </w:rPr>
        <w:t xml:space="preserve">s del análisis realizado, se destaca </w:t>
      </w:r>
      <w:r w:rsidR="008D7F27" w:rsidRPr="008D7F27">
        <w:rPr>
          <w:lang w:val="es-ES"/>
        </w:rPr>
        <w:t>que las</w:t>
      </w:r>
      <w:r w:rsidRPr="008D7F27">
        <w:rPr>
          <w:lang w:val="es-ES"/>
        </w:rPr>
        <w:t xml:space="preserve"> economías de ingresos medios </w:t>
      </w:r>
      <w:r w:rsidR="00FE6EB1" w:rsidRPr="008D7F27">
        <w:rPr>
          <w:lang w:val="es-ES"/>
        </w:rPr>
        <w:t xml:space="preserve">seleccionadas </w:t>
      </w:r>
      <w:r w:rsidRPr="008D7F27">
        <w:rPr>
          <w:lang w:val="es-ES"/>
        </w:rPr>
        <w:t xml:space="preserve">no </w:t>
      </w:r>
      <w:r w:rsidR="00FE6EB1" w:rsidRPr="008D7F27">
        <w:rPr>
          <w:lang w:val="es-ES"/>
        </w:rPr>
        <w:t xml:space="preserve">se </w:t>
      </w:r>
      <w:r w:rsidRPr="008D7F27">
        <w:rPr>
          <w:lang w:val="es-ES"/>
        </w:rPr>
        <w:t xml:space="preserve">limitan </w:t>
      </w:r>
      <w:r w:rsidR="00FE6EB1" w:rsidRPr="008D7F27">
        <w:rPr>
          <w:lang w:val="es-ES"/>
        </w:rPr>
        <w:t>a considerar únicamente los</w:t>
      </w:r>
      <w:r w:rsidRPr="008D7F27">
        <w:rPr>
          <w:lang w:val="es-ES"/>
        </w:rPr>
        <w:t xml:space="preserve"> minerales necesarios para la transición energética o la alta tecnología, sino que incorporan elementos asociados a</w:t>
      </w:r>
      <w:r w:rsidR="00FE6EB1" w:rsidRPr="008D7F27">
        <w:rPr>
          <w:lang w:val="es-ES"/>
        </w:rPr>
        <w:t>l</w:t>
      </w:r>
      <w:r w:rsidRPr="008D7F27">
        <w:rPr>
          <w:lang w:val="es-ES"/>
        </w:rPr>
        <w:t xml:space="preserve"> desarrollo económico, industria nacional, empleo, seguridad, reservas</w:t>
      </w:r>
      <w:r w:rsidR="00FE6EB1" w:rsidRPr="008D7F27">
        <w:rPr>
          <w:lang w:val="es-ES"/>
        </w:rPr>
        <w:t xml:space="preserve"> minerales</w:t>
      </w:r>
      <w:r w:rsidRPr="008D7F27">
        <w:rPr>
          <w:lang w:val="es-ES"/>
        </w:rPr>
        <w:t>, exportaciones, divisas y dependencia externa</w:t>
      </w:r>
      <w:r w:rsidR="00FE6EB1" w:rsidRPr="008D7F27">
        <w:rPr>
          <w:lang w:val="es-ES"/>
        </w:rPr>
        <w:t xml:space="preserve"> para su abastecimiento</w:t>
      </w:r>
      <w:r w:rsidRPr="008D7F27">
        <w:rPr>
          <w:lang w:val="es-ES"/>
        </w:rPr>
        <w:t xml:space="preserve">. </w:t>
      </w:r>
    </w:p>
    <w:p w14:paraId="75D75850" w14:textId="77777777" w:rsidR="00F04F29" w:rsidRPr="008D7F27" w:rsidRDefault="00F04F29" w:rsidP="00537988">
      <w:pPr>
        <w:rPr>
          <w:lang w:val="es-ES"/>
        </w:rPr>
      </w:pPr>
      <w:r w:rsidRPr="008D7F27">
        <w:rPr>
          <w:lang w:val="es-ES"/>
        </w:rPr>
        <w:t xml:space="preserve">Esto </w:t>
      </w:r>
      <w:r w:rsidR="000F43C6" w:rsidRPr="008D7F27">
        <w:rPr>
          <w:lang w:val="es-ES"/>
        </w:rPr>
        <w:t>indica</w:t>
      </w:r>
      <w:r w:rsidR="00FE6EB1" w:rsidRPr="008D7F27">
        <w:rPr>
          <w:lang w:val="es-ES"/>
        </w:rPr>
        <w:t xml:space="preserve"> que en </w:t>
      </w:r>
      <w:r w:rsidRPr="008D7F27">
        <w:rPr>
          <w:lang w:val="es-ES"/>
        </w:rPr>
        <w:t xml:space="preserve">Colombia, la revisión </w:t>
      </w:r>
      <w:r w:rsidR="000F43C6" w:rsidRPr="008D7F27">
        <w:rPr>
          <w:lang w:val="es-ES"/>
        </w:rPr>
        <w:t>y</w:t>
      </w:r>
      <w:r w:rsidR="00FE6EB1" w:rsidRPr="008D7F27">
        <w:rPr>
          <w:lang w:val="es-ES"/>
        </w:rPr>
        <w:t xml:space="preserve"> actualización </w:t>
      </w:r>
      <w:r w:rsidRPr="008D7F27">
        <w:rPr>
          <w:lang w:val="es-ES"/>
        </w:rPr>
        <w:t xml:space="preserve">de </w:t>
      </w:r>
      <w:r w:rsidR="00FE6EB1" w:rsidRPr="008D7F27">
        <w:rPr>
          <w:lang w:val="es-ES"/>
        </w:rPr>
        <w:t xml:space="preserve">los </w:t>
      </w:r>
      <w:r w:rsidRPr="008D7F27">
        <w:rPr>
          <w:lang w:val="es-ES"/>
        </w:rPr>
        <w:t xml:space="preserve">lineamientos </w:t>
      </w:r>
      <w:r w:rsidR="00FE6EB1" w:rsidRPr="008D7F27">
        <w:rPr>
          <w:lang w:val="es-ES"/>
        </w:rPr>
        <w:t>para la determinación de minerales estratégicos, además de considerar los minerales que pueden resultar ser estratégicos y/o críticos para el mundo, también se debe tener en cuenta</w:t>
      </w:r>
      <w:r w:rsidRPr="008D7F27">
        <w:rPr>
          <w:lang w:val="es-ES"/>
        </w:rPr>
        <w:t xml:space="preserve"> </w:t>
      </w:r>
      <w:r w:rsidR="00FE6EB1" w:rsidRPr="008D7F27">
        <w:rPr>
          <w:lang w:val="es-ES"/>
        </w:rPr>
        <w:t>la</w:t>
      </w:r>
      <w:r w:rsidRPr="008D7F27">
        <w:rPr>
          <w:lang w:val="es-ES"/>
        </w:rPr>
        <w:t xml:space="preserve"> vulnerabilidad de </w:t>
      </w:r>
      <w:r w:rsidR="00FE6EB1" w:rsidRPr="008D7F27">
        <w:rPr>
          <w:lang w:val="es-ES"/>
        </w:rPr>
        <w:t>suministro, su</w:t>
      </w:r>
      <w:r w:rsidRPr="008D7F27">
        <w:rPr>
          <w:lang w:val="es-ES"/>
        </w:rPr>
        <w:t xml:space="preserve"> capacidad de apalancar transformación productiva, </w:t>
      </w:r>
      <w:r w:rsidR="00FE6EB1" w:rsidRPr="008D7F27">
        <w:rPr>
          <w:lang w:val="es-ES"/>
        </w:rPr>
        <w:t xml:space="preserve">su incidencia en la </w:t>
      </w:r>
      <w:r w:rsidRPr="008D7F27">
        <w:rPr>
          <w:lang w:val="es-ES"/>
        </w:rPr>
        <w:t>competitividad</w:t>
      </w:r>
      <w:r w:rsidR="00FE6EB1" w:rsidRPr="008D7F27">
        <w:rPr>
          <w:lang w:val="es-ES"/>
        </w:rPr>
        <w:t xml:space="preserve"> nacional</w:t>
      </w:r>
      <w:r w:rsidRPr="008D7F27">
        <w:rPr>
          <w:lang w:val="es-ES"/>
        </w:rPr>
        <w:t xml:space="preserve">, </w:t>
      </w:r>
      <w:r w:rsidR="00FE6EB1" w:rsidRPr="008D7F27">
        <w:rPr>
          <w:lang w:val="es-ES"/>
        </w:rPr>
        <w:t>el</w:t>
      </w:r>
      <w:r w:rsidRPr="008D7F27">
        <w:rPr>
          <w:lang w:val="es-ES"/>
        </w:rPr>
        <w:t xml:space="preserve"> desarrollo territorial y </w:t>
      </w:r>
      <w:r w:rsidR="00FE6EB1" w:rsidRPr="008D7F27">
        <w:rPr>
          <w:lang w:val="es-ES"/>
        </w:rPr>
        <w:t>los</w:t>
      </w:r>
      <w:r w:rsidRPr="008D7F27">
        <w:rPr>
          <w:lang w:val="es-ES"/>
        </w:rPr>
        <w:t xml:space="preserve"> objetivos estratégicos </w:t>
      </w:r>
      <w:r w:rsidR="00463B1C" w:rsidRPr="008D7F27">
        <w:rPr>
          <w:lang w:val="es-ES"/>
        </w:rPr>
        <w:t>de la Política Pública Nacional considerando, entre otros, el Plan Nacional de Desarrollo PND 2022- 2026: Colombia Potencial Mundial de la Vida y el documento CONPES No. 4123 de 2023 “Política Nacional de Reindustrialización”</w:t>
      </w:r>
      <w:r w:rsidRPr="008D7F27">
        <w:rPr>
          <w:lang w:val="es-ES"/>
        </w:rPr>
        <w:t>.</w:t>
      </w:r>
    </w:p>
    <w:p w14:paraId="6163F15E" w14:textId="77777777" w:rsidR="009B5FE8" w:rsidRPr="008D7F27" w:rsidRDefault="00FE6EB1" w:rsidP="00537988">
      <w:pPr>
        <w:rPr>
          <w:lang w:val="es-ES"/>
        </w:rPr>
      </w:pPr>
      <w:r w:rsidRPr="008D7F27">
        <w:rPr>
          <w:lang w:val="es-ES"/>
        </w:rPr>
        <w:t xml:space="preserve">Acorde con lo anterior, </w:t>
      </w:r>
      <w:r w:rsidR="00F04F29" w:rsidRPr="008D7F27">
        <w:rPr>
          <w:lang w:val="es-ES"/>
        </w:rPr>
        <w:t>e</w:t>
      </w:r>
      <w:r w:rsidRPr="008D7F27">
        <w:rPr>
          <w:lang w:val="es-ES"/>
        </w:rPr>
        <w:t>l</w:t>
      </w:r>
      <w:r w:rsidR="00F04F29" w:rsidRPr="008D7F27">
        <w:rPr>
          <w:lang w:val="es-ES"/>
        </w:rPr>
        <w:t xml:space="preserve"> análisis </w:t>
      </w:r>
      <w:r w:rsidRPr="008D7F27">
        <w:rPr>
          <w:lang w:val="es-ES"/>
        </w:rPr>
        <w:t xml:space="preserve">realizado a partir de información </w:t>
      </w:r>
      <w:r w:rsidR="008D7F27" w:rsidRPr="008D7F27">
        <w:rPr>
          <w:lang w:val="es-ES"/>
        </w:rPr>
        <w:t>disponible</w:t>
      </w:r>
      <w:r w:rsidR="00F04F29" w:rsidRPr="008D7F27">
        <w:rPr>
          <w:lang w:val="es-ES"/>
        </w:rPr>
        <w:t xml:space="preserve"> </w:t>
      </w:r>
      <w:r w:rsidR="00463B1C" w:rsidRPr="008D7F27">
        <w:rPr>
          <w:lang w:val="es-ES"/>
        </w:rPr>
        <w:t>permite identificar</w:t>
      </w:r>
      <w:r w:rsidR="0023251B" w:rsidRPr="008D7F27">
        <w:rPr>
          <w:lang w:val="es-ES"/>
        </w:rPr>
        <w:t xml:space="preserve"> factores comunes para la determinación tanto de minerales críticos como de estratégicos, los cuales corresponden a:</w:t>
      </w:r>
      <w:r w:rsidR="00F04F29" w:rsidRPr="008D7F27">
        <w:rPr>
          <w:lang w:val="es-ES"/>
        </w:rPr>
        <w:t xml:space="preserve"> </w:t>
      </w:r>
    </w:p>
    <w:p w14:paraId="522F8A2D" w14:textId="77777777" w:rsidR="009B5FE8" w:rsidRPr="008D7F27" w:rsidRDefault="0023251B">
      <w:pPr>
        <w:pStyle w:val="Prrafodelista"/>
        <w:numPr>
          <w:ilvl w:val="0"/>
          <w:numId w:val="17"/>
        </w:numPr>
        <w:rPr>
          <w:lang w:val="es-ES"/>
        </w:rPr>
      </w:pPr>
      <w:r w:rsidRPr="008D7F27">
        <w:rPr>
          <w:lang w:val="es-ES"/>
        </w:rPr>
        <w:lastRenderedPageBreak/>
        <w:t>A</w:t>
      </w:r>
      <w:r w:rsidR="00F04F29" w:rsidRPr="008D7F27">
        <w:rPr>
          <w:lang w:val="es-ES"/>
        </w:rPr>
        <w:t>segurar abastecimiento</w:t>
      </w:r>
      <w:r w:rsidRPr="008D7F27">
        <w:rPr>
          <w:lang w:val="es-ES"/>
        </w:rPr>
        <w:t>.</w:t>
      </w:r>
    </w:p>
    <w:p w14:paraId="04D4B0D3" w14:textId="77777777" w:rsidR="009B5FE8" w:rsidRPr="008D7F27" w:rsidRDefault="0023251B">
      <w:pPr>
        <w:pStyle w:val="Prrafodelista"/>
        <w:numPr>
          <w:ilvl w:val="0"/>
          <w:numId w:val="17"/>
        </w:numPr>
        <w:rPr>
          <w:lang w:val="es-ES"/>
        </w:rPr>
      </w:pPr>
      <w:r w:rsidRPr="008D7F27">
        <w:rPr>
          <w:lang w:val="es-ES"/>
        </w:rPr>
        <w:t>E</w:t>
      </w:r>
      <w:r w:rsidR="00F04F29" w:rsidRPr="008D7F27">
        <w:rPr>
          <w:lang w:val="es-ES"/>
        </w:rPr>
        <w:t>vitar afectaciones económicas</w:t>
      </w:r>
      <w:r w:rsidRPr="008D7F27">
        <w:rPr>
          <w:lang w:val="es-ES"/>
        </w:rPr>
        <w:t>.</w:t>
      </w:r>
      <w:r w:rsidR="00F04F29" w:rsidRPr="008D7F27">
        <w:rPr>
          <w:lang w:val="es-ES"/>
        </w:rPr>
        <w:t xml:space="preserve"> </w:t>
      </w:r>
    </w:p>
    <w:p w14:paraId="6E904546" w14:textId="77777777" w:rsidR="009B5FE8" w:rsidRPr="008D7F27" w:rsidRDefault="0023251B">
      <w:pPr>
        <w:pStyle w:val="Prrafodelista"/>
        <w:numPr>
          <w:ilvl w:val="0"/>
          <w:numId w:val="17"/>
        </w:numPr>
        <w:rPr>
          <w:lang w:val="es-ES"/>
        </w:rPr>
      </w:pPr>
      <w:r w:rsidRPr="008D7F27">
        <w:rPr>
          <w:lang w:val="es-ES"/>
        </w:rPr>
        <w:t>F</w:t>
      </w:r>
      <w:r w:rsidR="00F04F29" w:rsidRPr="008D7F27">
        <w:rPr>
          <w:lang w:val="es-ES"/>
        </w:rPr>
        <w:t>ortalecer la base productiva e industrial</w:t>
      </w:r>
      <w:r w:rsidRPr="008D7F27">
        <w:rPr>
          <w:lang w:val="es-ES"/>
        </w:rPr>
        <w:t>.</w:t>
      </w:r>
      <w:r w:rsidR="00F04F29" w:rsidRPr="008D7F27">
        <w:rPr>
          <w:lang w:val="es-ES"/>
        </w:rPr>
        <w:t xml:space="preserve"> </w:t>
      </w:r>
    </w:p>
    <w:p w14:paraId="2FBE783B" w14:textId="77777777" w:rsidR="009B5FE8" w:rsidRPr="008D7F27" w:rsidRDefault="0023251B">
      <w:pPr>
        <w:pStyle w:val="Prrafodelista"/>
        <w:numPr>
          <w:ilvl w:val="0"/>
          <w:numId w:val="17"/>
        </w:numPr>
        <w:rPr>
          <w:lang w:val="es-ES"/>
        </w:rPr>
      </w:pPr>
      <w:r w:rsidRPr="008D7F27">
        <w:rPr>
          <w:lang w:val="es-ES"/>
        </w:rPr>
        <w:t>P</w:t>
      </w:r>
      <w:r w:rsidR="00F04F29" w:rsidRPr="008D7F27">
        <w:rPr>
          <w:lang w:val="es-ES"/>
        </w:rPr>
        <w:t>roteger intereses de seguridad</w:t>
      </w:r>
      <w:r w:rsidRPr="008D7F27">
        <w:rPr>
          <w:lang w:val="es-ES"/>
        </w:rPr>
        <w:t>.</w:t>
      </w:r>
    </w:p>
    <w:p w14:paraId="39173531" w14:textId="77777777" w:rsidR="009B5FE8" w:rsidRPr="008D7F27" w:rsidRDefault="0023251B">
      <w:pPr>
        <w:pStyle w:val="Prrafodelista"/>
        <w:numPr>
          <w:ilvl w:val="0"/>
          <w:numId w:val="17"/>
        </w:numPr>
        <w:rPr>
          <w:lang w:val="es-ES"/>
        </w:rPr>
      </w:pPr>
      <w:r w:rsidRPr="008D7F27">
        <w:rPr>
          <w:lang w:val="es-ES"/>
        </w:rPr>
        <w:t>A</w:t>
      </w:r>
      <w:r w:rsidR="00F04F29" w:rsidRPr="008D7F27">
        <w:rPr>
          <w:lang w:val="es-ES"/>
        </w:rPr>
        <w:t xml:space="preserve">provechar ventajas nacionales derivadas del recurso. </w:t>
      </w:r>
    </w:p>
    <w:p w14:paraId="4A6076C3" w14:textId="77777777" w:rsidR="0007388E" w:rsidRPr="008D7F27" w:rsidRDefault="56CD741A" w:rsidP="00907C68">
      <w:pPr>
        <w:pStyle w:val="Ttulo3"/>
        <w:rPr>
          <w:lang w:val="es-ES"/>
        </w:rPr>
      </w:pPr>
      <w:bookmarkStart w:id="21" w:name="_Toc229145824"/>
      <w:bookmarkStart w:id="22" w:name="_Toc750691702"/>
      <w:r w:rsidRPr="16F44784">
        <w:rPr>
          <w:lang w:val="es-ES"/>
        </w:rPr>
        <w:t>Economías de ingresos altos</w:t>
      </w:r>
      <w:bookmarkEnd w:id="21"/>
      <w:bookmarkEnd w:id="22"/>
    </w:p>
    <w:p w14:paraId="71B8E822" w14:textId="77777777" w:rsidR="0023251B" w:rsidRPr="008D7F27" w:rsidRDefault="0023251B" w:rsidP="0DA94A7C">
      <w:pPr>
        <w:rPr>
          <w:lang w:val="es-ES"/>
        </w:rPr>
      </w:pPr>
      <w:r w:rsidRPr="008D7F27">
        <w:rPr>
          <w:lang w:val="es-ES"/>
        </w:rPr>
        <w:t xml:space="preserve">En esta </w:t>
      </w:r>
      <w:r w:rsidR="008D7F27" w:rsidRPr="008D7F27">
        <w:rPr>
          <w:lang w:val="es-ES"/>
        </w:rPr>
        <w:t>clasificación se</w:t>
      </w:r>
      <w:r w:rsidRPr="008D7F27">
        <w:rPr>
          <w:lang w:val="es-ES"/>
        </w:rPr>
        <w:t xml:space="preserve"> incluye a:</w:t>
      </w:r>
      <w:r w:rsidR="0007388E" w:rsidRPr="008D7F27">
        <w:rPr>
          <w:lang w:val="es-ES"/>
        </w:rPr>
        <w:t xml:space="preserve"> Australia, Canadá, Estados Unidos, Japón, República de Corea, Nueva Zelanda, Reino Unido y la Unión Europea, </w:t>
      </w:r>
      <w:r w:rsidRPr="008D7F27">
        <w:rPr>
          <w:lang w:val="es-ES"/>
        </w:rPr>
        <w:t>cuya información disponible permite identificar la forma en que estos países han abordado la definición de minerales críticos y/o estratégicos, así como los listados de minerales que han adoptado en función de sus prioridades y contextos nacionales.</w:t>
      </w:r>
    </w:p>
    <w:p w14:paraId="5DAE63A0" w14:textId="77777777" w:rsidR="732556FD" w:rsidRPr="008D7F27" w:rsidRDefault="732556FD" w:rsidP="39B28450">
      <w:pPr>
        <w:pStyle w:val="Ttulo4"/>
        <w:rPr>
          <w:lang w:val="es-ES"/>
        </w:rPr>
      </w:pPr>
      <w:r w:rsidRPr="008D7F27">
        <w:rPr>
          <w:lang w:val="es-ES"/>
        </w:rPr>
        <w:t>Minerales críticos</w:t>
      </w:r>
    </w:p>
    <w:p w14:paraId="0630D3F6" w14:textId="77777777" w:rsidR="0023251B" w:rsidRPr="008D7F27" w:rsidRDefault="0023251B" w:rsidP="0023251B">
      <w:pPr>
        <w:rPr>
          <w:color w:val="000000" w:themeColor="text1"/>
          <w:lang w:val="es-ES"/>
        </w:rPr>
      </w:pPr>
      <w:r w:rsidRPr="008D7F27">
        <w:rPr>
          <w:lang w:val="es-ES"/>
        </w:rPr>
        <w:t>Con la información disponible de los países clasificados como economías de ingresos altos, se identificaron las siguientes definiciones oficiales relacionadas con minerales críticos en 7 de las 11 economías analizadas. A continuación, se presentan l</w:t>
      </w:r>
      <w:r w:rsidR="00687855" w:rsidRPr="008D7F27">
        <w:rPr>
          <w:lang w:val="es-ES"/>
        </w:rPr>
        <w:t xml:space="preserve">os </w:t>
      </w:r>
      <w:r w:rsidRPr="008D7F27">
        <w:rPr>
          <w:lang w:val="es-ES"/>
        </w:rPr>
        <w:t xml:space="preserve">conceptos </w:t>
      </w:r>
      <w:r w:rsidR="008D7F27" w:rsidRPr="008D7F27">
        <w:rPr>
          <w:lang w:val="es-ES"/>
        </w:rPr>
        <w:t>relacionados para</w:t>
      </w:r>
      <w:r w:rsidRPr="008D7F27">
        <w:rPr>
          <w:lang w:val="es-ES"/>
        </w:rPr>
        <w:t xml:space="preserve"> cada caso:</w:t>
      </w:r>
    </w:p>
    <w:p w14:paraId="1A4027E3" w14:textId="77777777" w:rsidR="39B28450" w:rsidRPr="008D7F27" w:rsidRDefault="00687855" w:rsidP="00687855">
      <w:pPr>
        <w:pStyle w:val="Descripcin"/>
        <w:rPr>
          <w:lang w:val="es-ES"/>
        </w:rPr>
      </w:pPr>
      <w:r w:rsidRPr="008D7F27">
        <w:rPr>
          <w:lang w:val="es-ES"/>
        </w:rPr>
        <w:t xml:space="preserve">Tabla </w:t>
      </w:r>
      <w:r w:rsidRPr="008D7F27">
        <w:rPr>
          <w:lang w:val="es-ES"/>
        </w:rPr>
        <w:fldChar w:fldCharType="begin"/>
      </w:r>
      <w:r w:rsidRPr="008D7F27">
        <w:rPr>
          <w:lang w:val="es-ES"/>
        </w:rPr>
        <w:instrText xml:space="preserve"> SEQ Tabla \* ARABIC </w:instrText>
      </w:r>
      <w:r w:rsidRPr="008D7F27">
        <w:rPr>
          <w:lang w:val="es-ES"/>
        </w:rPr>
        <w:fldChar w:fldCharType="separate"/>
      </w:r>
      <w:r w:rsidR="000E754D">
        <w:rPr>
          <w:noProof/>
          <w:lang w:val="es-ES"/>
        </w:rPr>
        <w:t>4</w:t>
      </w:r>
      <w:r w:rsidRPr="008D7F27">
        <w:rPr>
          <w:lang w:val="es-ES"/>
        </w:rPr>
        <w:fldChar w:fldCharType="end"/>
      </w:r>
      <w:r w:rsidRPr="008D7F27">
        <w:rPr>
          <w:lang w:val="es-ES"/>
        </w:rPr>
        <w:t xml:space="preserve"> Concepto de minerales críticos en economías de ingresos altos.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620"/>
      </w:tblGrid>
      <w:tr w:rsidR="39B28450" w:rsidRPr="008D7F27" w14:paraId="6D9857A1" w14:textId="77777777" w:rsidTr="0EFAC22F">
        <w:trPr>
          <w:trHeight w:val="135"/>
          <w:jc w:val="center"/>
        </w:trPr>
        <w:tc>
          <w:tcPr>
            <w:tcW w:w="1710" w:type="dxa"/>
            <w:shd w:val="clear" w:color="auto" w:fill="F2F2F2" w:themeFill="background1" w:themeFillShade="F2"/>
            <w:tcMar>
              <w:left w:w="60" w:type="dxa"/>
              <w:right w:w="60" w:type="dxa"/>
            </w:tcMar>
            <w:vAlign w:val="center"/>
          </w:tcPr>
          <w:p w14:paraId="2A46E6B0" w14:textId="77777777" w:rsidR="39B28450" w:rsidRPr="008D7F27" w:rsidRDefault="39B28450" w:rsidP="39B28450">
            <w:pPr>
              <w:jc w:val="center"/>
              <w:rPr>
                <w:color w:val="000000" w:themeColor="text1"/>
                <w:lang w:val="es-ES"/>
              </w:rPr>
            </w:pPr>
            <w:r w:rsidRPr="008D7F27">
              <w:rPr>
                <w:b/>
                <w:lang w:val="es-ES"/>
              </w:rPr>
              <w:t>País</w:t>
            </w:r>
          </w:p>
        </w:tc>
        <w:tc>
          <w:tcPr>
            <w:tcW w:w="7620" w:type="dxa"/>
            <w:shd w:val="clear" w:color="auto" w:fill="F2F2F2" w:themeFill="background1" w:themeFillShade="F2"/>
            <w:tcMar>
              <w:left w:w="60" w:type="dxa"/>
              <w:right w:w="60" w:type="dxa"/>
            </w:tcMar>
            <w:vAlign w:val="center"/>
          </w:tcPr>
          <w:p w14:paraId="7D0CC2C1" w14:textId="77777777" w:rsidR="39B28450" w:rsidRPr="008D7F27" w:rsidRDefault="39B28450" w:rsidP="39B28450">
            <w:pPr>
              <w:jc w:val="center"/>
              <w:rPr>
                <w:color w:val="000000" w:themeColor="text1"/>
                <w:lang w:val="es-ES"/>
              </w:rPr>
            </w:pPr>
            <w:r w:rsidRPr="008D7F27">
              <w:rPr>
                <w:b/>
                <w:lang w:val="es-ES"/>
              </w:rPr>
              <w:t>Concepto de minerales críticos adoptado</w:t>
            </w:r>
          </w:p>
        </w:tc>
      </w:tr>
      <w:tr w:rsidR="39B28450" w:rsidRPr="008D7F27" w14:paraId="12B56534" w14:textId="77777777" w:rsidTr="0EFAC22F">
        <w:trPr>
          <w:trHeight w:val="720"/>
          <w:jc w:val="center"/>
        </w:trPr>
        <w:tc>
          <w:tcPr>
            <w:tcW w:w="1710" w:type="dxa"/>
            <w:tcMar>
              <w:left w:w="60" w:type="dxa"/>
              <w:right w:w="60" w:type="dxa"/>
            </w:tcMar>
            <w:vAlign w:val="center"/>
          </w:tcPr>
          <w:p w14:paraId="08669C86" w14:textId="77777777" w:rsidR="39B28450" w:rsidRPr="008D7F27" w:rsidRDefault="39B28450" w:rsidP="39B28450">
            <w:pPr>
              <w:rPr>
                <w:color w:val="000000" w:themeColor="text1"/>
                <w:lang w:val="es-ES"/>
              </w:rPr>
            </w:pPr>
            <w:r w:rsidRPr="008D7F27">
              <w:rPr>
                <w:b/>
                <w:lang w:val="es-ES"/>
              </w:rPr>
              <w:t>Unión Europea</w:t>
            </w:r>
          </w:p>
        </w:tc>
        <w:tc>
          <w:tcPr>
            <w:tcW w:w="7620" w:type="dxa"/>
            <w:tcMar>
              <w:left w:w="60" w:type="dxa"/>
              <w:right w:w="60" w:type="dxa"/>
            </w:tcMar>
            <w:vAlign w:val="bottom"/>
          </w:tcPr>
          <w:p w14:paraId="638F7CD8" w14:textId="77777777" w:rsidR="00561428" w:rsidRDefault="00926833">
            <w:pPr>
              <w:rPr>
                <w:lang w:val="es-ES"/>
              </w:rPr>
            </w:pPr>
            <w:r>
              <w:rPr>
                <w:lang w:val="es-ES"/>
              </w:rPr>
              <w:t xml:space="preserve">“Materias primas críticas, al conjunto de materias primas no agrícolas ni energéticas, que son de gran importancia económica y tienen un elevado riesgo de interrupción en su cadena de suministro.” </w:t>
            </w:r>
            <w:sdt>
              <w:sdtPr>
                <w:id w:val="985890902"/>
                <w:citation/>
              </w:sdtPr>
              <w:sdtContent>
                <w:r>
                  <w:fldChar w:fldCharType="begin"/>
                </w:r>
                <w:r>
                  <w:rPr>
                    <w:lang w:val="es-ES"/>
                  </w:rPr>
                  <w:instrText xml:space="preserve"> CITATION Eur20 \l 3082 </w:instrText>
                </w:r>
                <w:r>
                  <w:fldChar w:fldCharType="separate"/>
                </w:r>
                <w:r w:rsidR="00E55C2E">
                  <w:rPr>
                    <w:noProof/>
                    <w:lang w:val="es-ES"/>
                  </w:rPr>
                  <w:t>(European Union, 2020)</w:t>
                </w:r>
                <w:r>
                  <w:fldChar w:fldCharType="end"/>
                </w:r>
              </w:sdtContent>
            </w:sdt>
          </w:p>
        </w:tc>
      </w:tr>
      <w:tr w:rsidR="39B28450" w:rsidRPr="008D7F27" w14:paraId="7A0FD228" w14:textId="77777777" w:rsidTr="0EFAC22F">
        <w:trPr>
          <w:trHeight w:val="720"/>
          <w:jc w:val="center"/>
        </w:trPr>
        <w:tc>
          <w:tcPr>
            <w:tcW w:w="1710" w:type="dxa"/>
            <w:tcMar>
              <w:left w:w="60" w:type="dxa"/>
              <w:right w:w="60" w:type="dxa"/>
            </w:tcMar>
            <w:vAlign w:val="center"/>
          </w:tcPr>
          <w:p w14:paraId="53F84399" w14:textId="77777777" w:rsidR="39B28450" w:rsidRPr="008D7F27" w:rsidRDefault="39B28450" w:rsidP="39B28450">
            <w:pPr>
              <w:rPr>
                <w:color w:val="000000" w:themeColor="text1"/>
                <w:lang w:val="es-ES"/>
              </w:rPr>
            </w:pPr>
            <w:r w:rsidRPr="008D7F27">
              <w:rPr>
                <w:b/>
                <w:lang w:val="es-ES"/>
              </w:rPr>
              <w:t>Reino Unido</w:t>
            </w:r>
          </w:p>
        </w:tc>
        <w:tc>
          <w:tcPr>
            <w:tcW w:w="7620" w:type="dxa"/>
            <w:tcMar>
              <w:left w:w="60" w:type="dxa"/>
              <w:right w:w="60" w:type="dxa"/>
            </w:tcMar>
            <w:vAlign w:val="bottom"/>
          </w:tcPr>
          <w:p w14:paraId="764617E6" w14:textId="431F0224" w:rsidR="00561428" w:rsidRDefault="77D4A232">
            <w:pPr>
              <w:rPr>
                <w:lang w:val="es-ES"/>
              </w:rPr>
            </w:pPr>
            <w:r>
              <w:rPr>
                <w:lang w:val="es-ES"/>
              </w:rPr>
              <w:t xml:space="preserve">“Minerales Críticos (Critical Minerals): Se definen formalmente como el subconjunto de materias primas que poseen la mayor importancia económica y, simultáneamente, </w:t>
            </w:r>
            <w:r w:rsidR="5A1F284A">
              <w:rPr>
                <w:lang w:val="es-ES"/>
              </w:rPr>
              <w:t>p</w:t>
            </w:r>
            <w:r>
              <w:rPr>
                <w:lang w:val="es-ES"/>
              </w:rPr>
              <w:t>resentan el mayor riesgo de interrupción en su suministro</w:t>
            </w:r>
            <w:r w:rsidR="05D3D3BE">
              <w:rPr>
                <w:lang w:val="es-ES"/>
              </w:rPr>
              <w:t>.</w:t>
            </w:r>
            <w:customXmlDelRangeStart w:id="23" w:author="Fabio Andres Aleman Machado" w:date="2026-05-25T15:51:00Z"/>
            <w:sdt>
              <w:sdtPr>
                <w:id w:val="716602847"/>
                <w:citation/>
              </w:sdtPr>
              <w:sdtContent>
                <w:customXmlDelRangeEnd w:id="23"/>
                <w:customXmlDelRangeStart w:id="24" w:author="Fabio Andres Aleman Machado" w:date="2026-05-25T15:51:00Z"/>
              </w:sdtContent>
            </w:sdt>
            <w:customXmlDelRangeEnd w:id="24"/>
            <w:r w:rsidR="05D3D3BE">
              <w:rPr>
                <w:lang w:val="es-ES"/>
              </w:rPr>
              <w:t xml:space="preserve"> </w:t>
            </w:r>
            <w:sdt>
              <w:sdtPr>
                <w:id w:val="999719689"/>
                <w:citation/>
              </w:sdtPr>
              <w:sdtContent>
                <w:r w:rsidR="00926833">
                  <w:fldChar w:fldCharType="begin"/>
                </w:r>
                <w:r w:rsidR="00926833">
                  <w:rPr>
                    <w:lang w:val="es-ES"/>
                  </w:rPr>
                  <w:instrText xml:space="preserve"> CITATION Bri24 \l 3082 </w:instrText>
                </w:r>
                <w:r w:rsidR="00926833">
                  <w:fldChar w:fldCharType="separate"/>
                </w:r>
                <w:r w:rsidR="00E55C2E">
                  <w:rPr>
                    <w:noProof/>
                    <w:lang w:val="es-ES"/>
                  </w:rPr>
                  <w:t>(British Geological Survey, 2024)</w:t>
                </w:r>
                <w:r w:rsidR="00926833">
                  <w:fldChar w:fldCharType="end"/>
                </w:r>
              </w:sdtContent>
            </w:sdt>
          </w:p>
        </w:tc>
      </w:tr>
      <w:tr w:rsidR="39B28450" w:rsidRPr="008D7F27" w14:paraId="36F0B187" w14:textId="77777777" w:rsidTr="0EFAC22F">
        <w:trPr>
          <w:trHeight w:val="63"/>
          <w:jc w:val="center"/>
        </w:trPr>
        <w:tc>
          <w:tcPr>
            <w:tcW w:w="1710" w:type="dxa"/>
            <w:tcMar>
              <w:left w:w="60" w:type="dxa"/>
              <w:right w:w="60" w:type="dxa"/>
            </w:tcMar>
            <w:vAlign w:val="center"/>
          </w:tcPr>
          <w:p w14:paraId="4BFE2F42" w14:textId="77777777" w:rsidR="39B28450" w:rsidRPr="008D7F27" w:rsidRDefault="39B28450" w:rsidP="39B28450">
            <w:pPr>
              <w:rPr>
                <w:color w:val="000000" w:themeColor="text1"/>
                <w:lang w:val="es-ES"/>
              </w:rPr>
            </w:pPr>
            <w:r w:rsidRPr="008D7F27">
              <w:rPr>
                <w:b/>
                <w:lang w:val="es-ES"/>
              </w:rPr>
              <w:t>Canadá</w:t>
            </w:r>
          </w:p>
        </w:tc>
        <w:tc>
          <w:tcPr>
            <w:tcW w:w="7620" w:type="dxa"/>
            <w:tcMar>
              <w:left w:w="60" w:type="dxa"/>
              <w:right w:w="60" w:type="dxa"/>
            </w:tcMar>
            <w:vAlign w:val="bottom"/>
          </w:tcPr>
          <w:p w14:paraId="7167D203" w14:textId="77777777" w:rsidR="00561428" w:rsidRDefault="00926833">
            <w:pPr>
              <w:rPr>
                <w:lang w:val="es-ES"/>
              </w:rPr>
            </w:pPr>
            <w:r>
              <w:rPr>
                <w:lang w:val="es-ES"/>
              </w:rPr>
              <w:t xml:space="preserve">“Para ser considerado un mineral crítico en Canadá, un mineral debe cumplir con los dos criterios siguientes: que la cadena de suministro esté amenazada; que exista una probabilidad razonable de que el mineral sea producido por Canadá. También debe cumplir con uno de los siguientes criterios: ser esencial para la seguridad económica o nacional de Canadá; ser necesario para la transición nacional hacia una economía sostenible y baja en carbono; o posicionar a Canadá como proveedor sostenible y estratégico.” </w:t>
            </w:r>
            <w:sdt>
              <w:sdtPr>
                <w:id w:val="906032814"/>
                <w:citation/>
              </w:sdtPr>
              <w:sdtContent>
                <w:r>
                  <w:fldChar w:fldCharType="begin"/>
                </w:r>
                <w:r>
                  <w:rPr>
                    <w:lang w:val="es-ES"/>
                  </w:rPr>
                  <w:instrText xml:space="preserve"> CITATION CCM22 \l 3082 </w:instrText>
                </w:r>
                <w:r>
                  <w:fldChar w:fldCharType="separate"/>
                </w:r>
                <w:r w:rsidR="00E55C2E">
                  <w:rPr>
                    <w:noProof/>
                    <w:lang w:val="es-ES"/>
                  </w:rPr>
                  <w:t>(Natural Resources Canada, 2022)</w:t>
                </w:r>
                <w:r>
                  <w:fldChar w:fldCharType="end"/>
                </w:r>
              </w:sdtContent>
            </w:sdt>
            <w:r>
              <w:rPr>
                <w:lang w:val="es-ES"/>
              </w:rPr>
              <w:t xml:space="preserve"> </w:t>
            </w:r>
            <w:sdt>
              <w:sdtPr>
                <w:id w:val="552272751"/>
                <w:citation/>
              </w:sdtPr>
              <w:sdtContent>
                <w:r>
                  <w:fldChar w:fldCharType="begin"/>
                </w:r>
                <w:r>
                  <w:rPr>
                    <w:lang w:val="es-ES"/>
                  </w:rPr>
                  <w:instrText xml:space="preserve"> CITATION Con25 \l 3082 </w:instrText>
                </w:r>
                <w:r>
                  <w:fldChar w:fldCharType="separate"/>
                </w:r>
                <w:r w:rsidR="00E55C2E">
                  <w:rPr>
                    <w:noProof/>
                    <w:lang w:val="es-ES"/>
                  </w:rPr>
                  <w:t>(Natural Resources Canada, 2025)</w:t>
                </w:r>
                <w:r>
                  <w:fldChar w:fldCharType="end"/>
                </w:r>
              </w:sdtContent>
            </w:sdt>
          </w:p>
        </w:tc>
      </w:tr>
      <w:tr w:rsidR="39B28450" w:rsidRPr="008D7F27" w14:paraId="7FC7563A" w14:textId="77777777" w:rsidTr="0EFAC22F">
        <w:trPr>
          <w:trHeight w:val="1455"/>
          <w:jc w:val="center"/>
        </w:trPr>
        <w:tc>
          <w:tcPr>
            <w:tcW w:w="1710" w:type="dxa"/>
            <w:tcMar>
              <w:left w:w="60" w:type="dxa"/>
              <w:right w:w="60" w:type="dxa"/>
            </w:tcMar>
            <w:vAlign w:val="center"/>
          </w:tcPr>
          <w:p w14:paraId="4AD76C39" w14:textId="77777777" w:rsidR="39B28450" w:rsidRPr="008D7F27" w:rsidRDefault="39B28450" w:rsidP="39B28450">
            <w:pPr>
              <w:rPr>
                <w:color w:val="000000" w:themeColor="text1"/>
                <w:lang w:val="es-ES"/>
              </w:rPr>
            </w:pPr>
            <w:r w:rsidRPr="008D7F27">
              <w:rPr>
                <w:b/>
                <w:lang w:val="es-ES"/>
              </w:rPr>
              <w:lastRenderedPageBreak/>
              <w:t>Estados Unidos</w:t>
            </w:r>
          </w:p>
        </w:tc>
        <w:tc>
          <w:tcPr>
            <w:tcW w:w="7620" w:type="dxa"/>
            <w:tcMar>
              <w:left w:w="60" w:type="dxa"/>
              <w:right w:w="60" w:type="dxa"/>
            </w:tcMar>
            <w:vAlign w:val="bottom"/>
          </w:tcPr>
          <w:p w14:paraId="455F9AED" w14:textId="77777777" w:rsidR="00561428" w:rsidRDefault="00926833">
            <w:pPr>
              <w:rPr>
                <w:lang w:val="es-ES"/>
              </w:rPr>
            </w:pPr>
            <w:r>
              <w:rPr>
                <w:lang w:val="es-ES"/>
              </w:rPr>
              <w:t xml:space="preserve">“Según la Ley de 2020, un mineral se considera ‘crítico’ si cumple con los siguientes tres criterios: 1. Ser esencial para la seguridad económica y nacional de los Estados Unidos. 2. Cumplir una función esencial en la fabricación de un producto, cuya ausencia tendría consecuencias significativas para la seguridad económica o nacional de los Estados Unidos. 3. Tener una cadena de suministro vulnerable a interrupciones.” </w:t>
            </w:r>
            <w:sdt>
              <w:sdtPr>
                <w:id w:val="725461336"/>
                <w:citation/>
              </w:sdtPr>
              <w:sdtContent>
                <w:r>
                  <w:fldChar w:fldCharType="begin"/>
                </w:r>
                <w:r>
                  <w:rPr>
                    <w:lang w:val="es-ES"/>
                  </w:rPr>
                  <w:instrText xml:space="preserve"> CITATION USD20 \l 3082 </w:instrText>
                </w:r>
                <w:r>
                  <w:fldChar w:fldCharType="separate"/>
                </w:r>
                <w:r w:rsidR="00E55C2E">
                  <w:rPr>
                    <w:noProof/>
                    <w:lang w:val="es-ES"/>
                  </w:rPr>
                  <w:t>(U.S. Department of Energy, 2020)</w:t>
                </w:r>
                <w:r>
                  <w:fldChar w:fldCharType="end"/>
                </w:r>
              </w:sdtContent>
            </w:sdt>
          </w:p>
        </w:tc>
      </w:tr>
      <w:tr w:rsidR="39B28450" w:rsidRPr="008D7F27" w14:paraId="435F9C52" w14:textId="77777777" w:rsidTr="0EFAC22F">
        <w:trPr>
          <w:trHeight w:val="1170"/>
          <w:jc w:val="center"/>
        </w:trPr>
        <w:tc>
          <w:tcPr>
            <w:tcW w:w="1710" w:type="dxa"/>
            <w:tcMar>
              <w:left w:w="60" w:type="dxa"/>
              <w:right w:w="60" w:type="dxa"/>
            </w:tcMar>
            <w:vAlign w:val="center"/>
          </w:tcPr>
          <w:p w14:paraId="1D43F100" w14:textId="77777777" w:rsidR="39B28450" w:rsidRPr="008D7F27" w:rsidRDefault="39B28450" w:rsidP="39B28450">
            <w:pPr>
              <w:rPr>
                <w:color w:val="000000" w:themeColor="text1"/>
                <w:lang w:val="es-ES"/>
              </w:rPr>
            </w:pPr>
            <w:r w:rsidRPr="008D7F27">
              <w:rPr>
                <w:b/>
                <w:lang w:val="es-ES"/>
              </w:rPr>
              <w:t>Nueva Zelanda</w:t>
            </w:r>
          </w:p>
        </w:tc>
        <w:tc>
          <w:tcPr>
            <w:tcW w:w="7620" w:type="dxa"/>
            <w:tcMar>
              <w:left w:w="60" w:type="dxa"/>
              <w:right w:w="60" w:type="dxa"/>
            </w:tcMar>
            <w:vAlign w:val="bottom"/>
          </w:tcPr>
          <w:p w14:paraId="52813F20" w14:textId="77777777" w:rsidR="00561428" w:rsidRDefault="00926833">
            <w:pPr>
              <w:rPr>
                <w:lang w:val="es-ES"/>
              </w:rPr>
            </w:pPr>
            <w:r>
              <w:rPr>
                <w:lang w:val="es-ES"/>
              </w:rPr>
              <w:t xml:space="preserve">“Un mineral crítico incluye aquellos minerales que: son esenciales para la economía, la seguridad nacional y las necesidades tecnológicas de Nueva Zelanda, y/o que son igualmente importantes para los socios internacionales del país, y que además son susceptibles a interrupciones de suministro tanto a nivel doméstico como internacional.” </w:t>
            </w:r>
            <w:sdt>
              <w:sdtPr>
                <w:id w:val="445045876"/>
                <w:citation/>
              </w:sdtPr>
              <w:sdtContent>
                <w:r>
                  <w:fldChar w:fldCharType="begin"/>
                </w:r>
                <w:r>
                  <w:rPr>
                    <w:lang w:val="es-ES"/>
                  </w:rPr>
                  <w:instrText xml:space="preserve"> CITATION NzMin25 \l 3082 </w:instrText>
                </w:r>
                <w:r>
                  <w:fldChar w:fldCharType="separate"/>
                </w:r>
                <w:r w:rsidR="00E55C2E">
                  <w:rPr>
                    <w:noProof/>
                    <w:lang w:val="es-ES"/>
                  </w:rPr>
                  <w:t>(Ministry of Business, Innovation &amp; Employment, 2025)</w:t>
                </w:r>
                <w:r>
                  <w:fldChar w:fldCharType="end"/>
                </w:r>
              </w:sdtContent>
            </w:sdt>
          </w:p>
        </w:tc>
      </w:tr>
      <w:tr w:rsidR="39B28450" w:rsidRPr="008D7F27" w14:paraId="41BBE3A8" w14:textId="77777777" w:rsidTr="0EFAC22F">
        <w:trPr>
          <w:trHeight w:val="1020"/>
          <w:jc w:val="center"/>
        </w:trPr>
        <w:tc>
          <w:tcPr>
            <w:tcW w:w="1710" w:type="dxa"/>
            <w:tcMar>
              <w:left w:w="60" w:type="dxa"/>
              <w:right w:w="60" w:type="dxa"/>
            </w:tcMar>
            <w:vAlign w:val="center"/>
          </w:tcPr>
          <w:p w14:paraId="45FCCCA2" w14:textId="77777777" w:rsidR="39B28450" w:rsidRPr="008D7F27" w:rsidRDefault="39B28450" w:rsidP="39B28450">
            <w:pPr>
              <w:rPr>
                <w:color w:val="000000" w:themeColor="text1"/>
                <w:lang w:val="es-ES"/>
              </w:rPr>
            </w:pPr>
            <w:r w:rsidRPr="008D7F27">
              <w:rPr>
                <w:b/>
                <w:lang w:val="es-ES"/>
              </w:rPr>
              <w:t>Japón</w:t>
            </w:r>
          </w:p>
        </w:tc>
        <w:tc>
          <w:tcPr>
            <w:tcW w:w="7620" w:type="dxa"/>
            <w:tcMar>
              <w:left w:w="60" w:type="dxa"/>
              <w:right w:w="60" w:type="dxa"/>
            </w:tcMar>
            <w:vAlign w:val="bottom"/>
          </w:tcPr>
          <w:p w14:paraId="0E432A56" w14:textId="77777777" w:rsidR="00561428" w:rsidRDefault="00926833">
            <w:pPr>
              <w:rPr>
                <w:lang w:val="es-ES"/>
              </w:rPr>
            </w:pPr>
            <w:r>
              <w:rPr>
                <w:lang w:val="es-ES"/>
              </w:rPr>
              <w:t xml:space="preserve">“Los minerales importantes son recursos esenciales que sustentan la vida de los ciudadanos y la actividad económica como materias primas para diversos productos industriales… existe una alta dependencia de países específicos, lo que dificulta encontrar suministros alternativos.” </w:t>
            </w:r>
            <w:sdt>
              <w:sdtPr>
                <w:id w:val="482133971"/>
                <w:citation/>
              </w:sdtPr>
              <w:sdtContent>
                <w:r>
                  <w:fldChar w:fldCharType="begin"/>
                </w:r>
                <w:r>
                  <w:rPr>
                    <w:lang w:val="es-ES"/>
                  </w:rPr>
                  <w:instrText xml:space="preserve"> CITATION Min26 \l 3082 </w:instrText>
                </w:r>
                <w:r>
                  <w:fldChar w:fldCharType="separate"/>
                </w:r>
                <w:r w:rsidR="00E55C2E">
                  <w:rPr>
                    <w:noProof/>
                    <w:lang w:val="es-ES"/>
                  </w:rPr>
                  <w:t>(Ministerio de Economía, Comercio e Industria de Japón (METI), 2026)</w:t>
                </w:r>
                <w:r>
                  <w:fldChar w:fldCharType="end"/>
                </w:r>
              </w:sdtContent>
            </w:sdt>
          </w:p>
        </w:tc>
      </w:tr>
      <w:tr w:rsidR="39B28450" w:rsidRPr="008D7F27" w14:paraId="0155F4CD" w14:textId="77777777" w:rsidTr="0EFAC22F">
        <w:trPr>
          <w:trHeight w:val="585"/>
          <w:jc w:val="center"/>
        </w:trPr>
        <w:tc>
          <w:tcPr>
            <w:tcW w:w="1710" w:type="dxa"/>
            <w:tcMar>
              <w:left w:w="60" w:type="dxa"/>
              <w:right w:w="60" w:type="dxa"/>
            </w:tcMar>
            <w:vAlign w:val="center"/>
          </w:tcPr>
          <w:p w14:paraId="601989A2" w14:textId="77777777" w:rsidR="39B28450" w:rsidRPr="008D7F27" w:rsidRDefault="39B28450" w:rsidP="39B28450">
            <w:pPr>
              <w:rPr>
                <w:color w:val="000000" w:themeColor="text1"/>
                <w:lang w:val="es-ES"/>
              </w:rPr>
            </w:pPr>
            <w:r w:rsidRPr="008D7F27">
              <w:rPr>
                <w:b/>
                <w:lang w:val="es-ES"/>
              </w:rPr>
              <w:t>Australia</w:t>
            </w:r>
          </w:p>
        </w:tc>
        <w:tc>
          <w:tcPr>
            <w:tcW w:w="7620" w:type="dxa"/>
            <w:tcMar>
              <w:left w:w="60" w:type="dxa"/>
              <w:right w:w="60" w:type="dxa"/>
            </w:tcMar>
            <w:vAlign w:val="bottom"/>
          </w:tcPr>
          <w:p w14:paraId="4EC1F161" w14:textId="77777777" w:rsidR="00561428" w:rsidRDefault="00926833">
            <w:pPr>
              <w:rPr>
                <w:lang w:val="es-ES"/>
              </w:rPr>
            </w:pPr>
            <w:r>
              <w:rPr>
                <w:lang w:val="es-ES"/>
              </w:rPr>
              <w:t xml:space="preserve">“materiales metálicos o no metálicos esenciales para nuestras tecnologías modernas, economías y seguridad nacional, y cuyas cadenas de suministro son vulnerables a interrupciones.” </w:t>
            </w:r>
            <w:sdt>
              <w:sdtPr>
                <w:id w:val="647455966"/>
                <w:citation/>
              </w:sdtPr>
              <w:sdtContent>
                <w:r>
                  <w:fldChar w:fldCharType="begin"/>
                </w:r>
                <w:r>
                  <w:rPr>
                    <w:lang w:val="es-ES"/>
                  </w:rPr>
                  <w:instrText xml:space="preserve"> CITATION GobAU23 \l 3082 </w:instrText>
                </w:r>
                <w:r>
                  <w:fldChar w:fldCharType="separate"/>
                </w:r>
                <w:r w:rsidR="00E55C2E">
                  <w:rPr>
                    <w:noProof/>
                    <w:lang w:val="es-ES"/>
                  </w:rPr>
                  <w:t>(Gobierno de Australia, 2023)</w:t>
                </w:r>
                <w:r>
                  <w:fldChar w:fldCharType="end"/>
                </w:r>
              </w:sdtContent>
            </w:sdt>
          </w:p>
        </w:tc>
      </w:tr>
      <w:tr w:rsidR="39B28450" w:rsidRPr="008D7F27" w14:paraId="20AE543B" w14:textId="77777777" w:rsidTr="0EFAC22F">
        <w:trPr>
          <w:trHeight w:val="435"/>
          <w:jc w:val="center"/>
        </w:trPr>
        <w:tc>
          <w:tcPr>
            <w:tcW w:w="1710" w:type="dxa"/>
            <w:tcMar>
              <w:left w:w="60" w:type="dxa"/>
              <w:right w:w="60" w:type="dxa"/>
            </w:tcMar>
            <w:vAlign w:val="center"/>
          </w:tcPr>
          <w:p w14:paraId="599D18CA" w14:textId="77777777" w:rsidR="39B28450" w:rsidRPr="008D7F27" w:rsidRDefault="39B28450" w:rsidP="39B28450">
            <w:pPr>
              <w:rPr>
                <w:color w:val="000000" w:themeColor="text1"/>
                <w:lang w:val="es-ES"/>
              </w:rPr>
            </w:pPr>
            <w:r w:rsidRPr="008D7F27">
              <w:rPr>
                <w:b/>
                <w:lang w:val="es-ES"/>
              </w:rPr>
              <w:t>Alemania</w:t>
            </w:r>
          </w:p>
        </w:tc>
        <w:tc>
          <w:tcPr>
            <w:tcW w:w="7620" w:type="dxa"/>
            <w:tcMar>
              <w:left w:w="60" w:type="dxa"/>
              <w:right w:w="60" w:type="dxa"/>
            </w:tcMar>
            <w:vAlign w:val="bottom"/>
          </w:tcPr>
          <w:p w14:paraId="7ACCDFB0" w14:textId="77777777" w:rsidR="00561428" w:rsidRDefault="00926833">
            <w:pPr>
              <w:rPr>
                <w:lang w:val="es-ES"/>
              </w:rPr>
            </w:pPr>
            <w:r>
              <w:rPr>
                <w:lang w:val="es-ES"/>
              </w:rPr>
              <w:t xml:space="preserve">La lista DERA no declara formalmente que una materia prima sea crítica o estratégica. </w:t>
            </w:r>
            <w:sdt>
              <w:sdtPr>
                <w:id w:val="184208932"/>
                <w:citation/>
              </w:sdtPr>
              <w:sdtContent>
                <w:r>
                  <w:fldChar w:fldCharType="begin"/>
                </w:r>
                <w:r>
                  <w:rPr>
                    <w:lang w:val="es-ES"/>
                  </w:rPr>
                  <w:instrText xml:space="preserve"> CITATION DER25 \l 3082 </w:instrText>
                </w:r>
                <w:r>
                  <w:fldChar w:fldCharType="separate"/>
                </w:r>
                <w:r w:rsidR="00E55C2E">
                  <w:rPr>
                    <w:noProof/>
                    <w:lang w:val="es-ES"/>
                  </w:rPr>
                  <w:t>(DERA, 2025)</w:t>
                </w:r>
                <w:r>
                  <w:fldChar w:fldCharType="end"/>
                </w:r>
              </w:sdtContent>
            </w:sdt>
          </w:p>
        </w:tc>
      </w:tr>
      <w:tr w:rsidR="39B28450" w:rsidRPr="008D7F27" w14:paraId="0D62F2F5" w14:textId="77777777" w:rsidTr="0EFAC22F">
        <w:trPr>
          <w:trHeight w:val="435"/>
          <w:jc w:val="center"/>
        </w:trPr>
        <w:tc>
          <w:tcPr>
            <w:tcW w:w="1710" w:type="dxa"/>
            <w:tcMar>
              <w:left w:w="60" w:type="dxa"/>
              <w:right w:w="60" w:type="dxa"/>
            </w:tcMar>
            <w:vAlign w:val="center"/>
          </w:tcPr>
          <w:p w14:paraId="5AE2277C" w14:textId="77777777" w:rsidR="39B28450" w:rsidRPr="008D7F27" w:rsidRDefault="39B28450" w:rsidP="39B28450">
            <w:pPr>
              <w:rPr>
                <w:color w:val="000000" w:themeColor="text1"/>
                <w:lang w:val="es-ES"/>
              </w:rPr>
            </w:pPr>
            <w:r w:rsidRPr="008D7F27">
              <w:rPr>
                <w:b/>
                <w:lang w:val="es-ES"/>
              </w:rPr>
              <w:t>Francia</w:t>
            </w:r>
          </w:p>
        </w:tc>
        <w:tc>
          <w:tcPr>
            <w:tcW w:w="7620" w:type="dxa"/>
            <w:tcMar>
              <w:left w:w="60" w:type="dxa"/>
              <w:right w:w="60" w:type="dxa"/>
            </w:tcMar>
            <w:vAlign w:val="bottom"/>
          </w:tcPr>
          <w:p w14:paraId="3111A7E6" w14:textId="77777777" w:rsidR="00561428" w:rsidRDefault="00926833">
            <w:pPr>
              <w:rPr>
                <w:lang w:val="es-ES"/>
              </w:rPr>
            </w:pPr>
            <w:r>
              <w:rPr>
                <w:lang w:val="es-ES"/>
              </w:rPr>
              <w:t xml:space="preserve">Francia sigue el marco de la UE; no existen definiciones particulares al respecto. </w:t>
            </w:r>
            <w:sdt>
              <w:sdtPr>
                <w:id w:val="417800843"/>
                <w:citation/>
              </w:sdtPr>
              <w:sdtContent>
                <w:r>
                  <w:fldChar w:fldCharType="begin"/>
                </w:r>
                <w:r>
                  <w:rPr>
                    <w:lang w:val="es-ES"/>
                  </w:rPr>
                  <w:instrText xml:space="preserve"> CITATION SFA \l 3082 </w:instrText>
                </w:r>
                <w:r>
                  <w:fldChar w:fldCharType="separate"/>
                </w:r>
                <w:r w:rsidR="00E55C2E">
                  <w:rPr>
                    <w:noProof/>
                    <w:lang w:val="es-ES"/>
                  </w:rPr>
                  <w:t>(SFA Oxford, 2026)</w:t>
                </w:r>
                <w:r>
                  <w:fldChar w:fldCharType="end"/>
                </w:r>
              </w:sdtContent>
            </w:sdt>
          </w:p>
        </w:tc>
      </w:tr>
      <w:tr w:rsidR="39B28450" w:rsidRPr="008D7F27" w14:paraId="11FA9807" w14:textId="77777777" w:rsidTr="0EFAC22F">
        <w:trPr>
          <w:trHeight w:val="285"/>
          <w:jc w:val="center"/>
        </w:trPr>
        <w:tc>
          <w:tcPr>
            <w:tcW w:w="1710" w:type="dxa"/>
            <w:tcMar>
              <w:left w:w="60" w:type="dxa"/>
              <w:right w:w="60" w:type="dxa"/>
            </w:tcMar>
            <w:vAlign w:val="center"/>
          </w:tcPr>
          <w:p w14:paraId="280F50A9" w14:textId="77777777" w:rsidR="39B28450" w:rsidRPr="008D7F27" w:rsidRDefault="39B28450" w:rsidP="39B28450">
            <w:pPr>
              <w:rPr>
                <w:color w:val="000000" w:themeColor="text1"/>
                <w:lang w:val="es-ES"/>
              </w:rPr>
            </w:pPr>
            <w:r w:rsidRPr="008D7F27">
              <w:rPr>
                <w:b/>
                <w:lang w:val="es-ES"/>
              </w:rPr>
              <w:t>Arabia Saudita</w:t>
            </w:r>
          </w:p>
        </w:tc>
        <w:tc>
          <w:tcPr>
            <w:tcW w:w="7620" w:type="dxa"/>
            <w:tcMar>
              <w:left w:w="60" w:type="dxa"/>
              <w:right w:w="60" w:type="dxa"/>
            </w:tcMar>
            <w:vAlign w:val="bottom"/>
          </w:tcPr>
          <w:p w14:paraId="6E962AF3" w14:textId="77777777" w:rsidR="00561428" w:rsidRDefault="00926833">
            <w:pPr>
              <w:rPr>
                <w:lang w:val="es-ES"/>
              </w:rPr>
            </w:pPr>
            <w:r>
              <w:rPr>
                <w:lang w:val="es-ES"/>
              </w:rPr>
              <w:t xml:space="preserve">Arabia Saudita no define formalmente minerales críticos ni estratégicos. </w:t>
            </w:r>
            <w:sdt>
              <w:sdtPr>
                <w:id w:val="584725645"/>
                <w:citation/>
              </w:sdtPr>
              <w:sdtContent>
                <w:r>
                  <w:fldChar w:fldCharType="begin"/>
                </w:r>
                <w:r>
                  <w:rPr>
                    <w:lang w:val="es-ES"/>
                  </w:rPr>
                  <w:instrText xml:space="preserve"> CITATION Rei16 \l 3082 </w:instrText>
                </w:r>
                <w:r>
                  <w:fldChar w:fldCharType="separate"/>
                </w:r>
                <w:r w:rsidR="00E55C2E">
                  <w:rPr>
                    <w:noProof/>
                    <w:lang w:val="es-ES"/>
                  </w:rPr>
                  <w:t>(Reino de Arabia Saudita, 2016)</w:t>
                </w:r>
                <w:r>
                  <w:fldChar w:fldCharType="end"/>
                </w:r>
              </w:sdtContent>
            </w:sdt>
            <w:r>
              <w:rPr>
                <w:lang w:val="es-ES"/>
              </w:rPr>
              <w:t xml:space="preserve"> </w:t>
            </w:r>
            <w:sdt>
              <w:sdtPr>
                <w:id w:val="746915793"/>
                <w:citation/>
              </w:sdtPr>
              <w:sdtContent>
                <w:r>
                  <w:fldChar w:fldCharType="begin"/>
                </w:r>
                <w:r>
                  <w:rPr>
                    <w:lang w:val="es-ES"/>
                  </w:rPr>
                  <w:instrText xml:space="preserve"> CITATION Rei21 \l 3082 </w:instrText>
                </w:r>
                <w:r>
                  <w:fldChar w:fldCharType="separate"/>
                </w:r>
                <w:r w:rsidR="00E55C2E">
                  <w:rPr>
                    <w:noProof/>
                    <w:lang w:val="es-ES"/>
                  </w:rPr>
                  <w:t>(Reino de Arabia Saudita, 2021)</w:t>
                </w:r>
                <w:r>
                  <w:fldChar w:fldCharType="end"/>
                </w:r>
              </w:sdtContent>
            </w:sdt>
          </w:p>
        </w:tc>
      </w:tr>
      <w:tr w:rsidR="39B28450" w:rsidRPr="008D7F27" w14:paraId="6FD22AA5" w14:textId="77777777" w:rsidTr="0EFAC22F">
        <w:trPr>
          <w:trHeight w:val="435"/>
          <w:jc w:val="center"/>
        </w:trPr>
        <w:tc>
          <w:tcPr>
            <w:tcW w:w="1710" w:type="dxa"/>
            <w:tcMar>
              <w:left w:w="60" w:type="dxa"/>
              <w:right w:w="60" w:type="dxa"/>
            </w:tcMar>
            <w:vAlign w:val="center"/>
          </w:tcPr>
          <w:p w14:paraId="55A6FFA9" w14:textId="77777777" w:rsidR="39B28450" w:rsidRPr="008D7F27" w:rsidRDefault="39B28450" w:rsidP="39B28450">
            <w:pPr>
              <w:rPr>
                <w:color w:val="000000" w:themeColor="text1"/>
                <w:lang w:val="es-ES"/>
              </w:rPr>
            </w:pPr>
            <w:r w:rsidRPr="008D7F27">
              <w:rPr>
                <w:b/>
                <w:lang w:val="es-ES"/>
              </w:rPr>
              <w:t>Corea del Sur</w:t>
            </w:r>
          </w:p>
        </w:tc>
        <w:tc>
          <w:tcPr>
            <w:tcW w:w="7620" w:type="dxa"/>
            <w:tcMar>
              <w:left w:w="60" w:type="dxa"/>
              <w:right w:w="60" w:type="dxa"/>
            </w:tcMar>
            <w:vAlign w:val="bottom"/>
          </w:tcPr>
          <w:p w14:paraId="02AADC4D" w14:textId="77777777" w:rsidR="00561428" w:rsidRDefault="00926833">
            <w:pPr>
              <w:rPr>
                <w:lang w:val="es-ES"/>
              </w:rPr>
            </w:pPr>
            <w:r>
              <w:rPr>
                <w:lang w:val="es-ES"/>
              </w:rPr>
              <w:t xml:space="preserve">No se encuentra una definición específica para minerales críticos y/o estratégicos. </w:t>
            </w:r>
            <w:sdt>
              <w:sdtPr>
                <w:id w:val="927624914"/>
                <w:citation/>
              </w:sdtPr>
              <w:sdtContent>
                <w:r>
                  <w:fldChar w:fldCharType="begin"/>
                </w:r>
                <w:r>
                  <w:rPr>
                    <w:lang w:val="es-ES"/>
                  </w:rPr>
                  <w:instrText xml:space="preserve"> CITATION Int25 \l 3082 </w:instrText>
                </w:r>
                <w:r>
                  <w:fldChar w:fldCharType="separate"/>
                </w:r>
                <w:r w:rsidR="00E55C2E">
                  <w:rPr>
                    <w:noProof/>
                    <w:lang w:val="es-ES"/>
                  </w:rPr>
                  <w:t>(International Energy Agency, 2025)</w:t>
                </w:r>
                <w:r>
                  <w:fldChar w:fldCharType="end"/>
                </w:r>
              </w:sdtContent>
            </w:sdt>
          </w:p>
        </w:tc>
      </w:tr>
    </w:tbl>
    <w:p w14:paraId="6CBAF061" w14:textId="56F64007" w:rsidR="00687855" w:rsidRPr="008D7F27" w:rsidRDefault="00687855" w:rsidP="00687855">
      <w:pPr>
        <w:pStyle w:val="Fuente"/>
        <w:rPr>
          <w:color w:val="000000" w:themeColor="text1"/>
          <w:sz w:val="18"/>
          <w:szCs w:val="18"/>
          <w:lang w:val="es-ES"/>
        </w:rPr>
      </w:pPr>
      <w:r w:rsidRPr="008D7F27">
        <w:rPr>
          <w:lang w:val="es-ES"/>
        </w:rPr>
        <w:t>Fuente: Elaboración propia a partir de las fichas.</w:t>
      </w:r>
    </w:p>
    <w:p w14:paraId="5AA4B458" w14:textId="77777777" w:rsidR="000D1D4F" w:rsidRPr="008D7F27" w:rsidRDefault="000D1D4F" w:rsidP="000D1D4F">
      <w:pPr>
        <w:rPr>
          <w:color w:val="000000" w:themeColor="text1"/>
          <w:lang w:val="es-ES"/>
        </w:rPr>
      </w:pPr>
      <w:r w:rsidRPr="008D7F27">
        <w:rPr>
          <w:lang w:val="es-ES"/>
        </w:rPr>
        <w:t xml:space="preserve">Acorde con lo anterior, se </w:t>
      </w:r>
      <w:r w:rsidR="00687855" w:rsidRPr="008D7F27">
        <w:rPr>
          <w:lang w:val="es-ES"/>
        </w:rPr>
        <w:t>realiza</w:t>
      </w:r>
      <w:r w:rsidRPr="008D7F27">
        <w:rPr>
          <w:lang w:val="es-ES"/>
        </w:rPr>
        <w:t xml:space="preserve"> un análisis comparativo considerando los países que presentan una definición </w:t>
      </w:r>
      <w:r w:rsidR="008D7F27" w:rsidRPr="008D7F27">
        <w:rPr>
          <w:lang w:val="es-ES"/>
        </w:rPr>
        <w:t>oficial de</w:t>
      </w:r>
      <w:r w:rsidRPr="008D7F27">
        <w:rPr>
          <w:lang w:val="es-ES"/>
        </w:rPr>
        <w:t xml:space="preserve"> minerales críticos, tales como: Reino Unido, Canadá, Estados Unidos, Nueva Zelanda, Japón</w:t>
      </w:r>
      <w:r w:rsidR="00DA6A81" w:rsidRPr="008D7F27">
        <w:rPr>
          <w:lang w:val="es-ES"/>
        </w:rPr>
        <w:t xml:space="preserve">, </w:t>
      </w:r>
      <w:r w:rsidRPr="008D7F27">
        <w:rPr>
          <w:lang w:val="es-ES"/>
        </w:rPr>
        <w:t>Australia</w:t>
      </w:r>
      <w:r w:rsidR="00DA6A81" w:rsidRPr="008D7F27">
        <w:rPr>
          <w:lang w:val="es-ES"/>
        </w:rPr>
        <w:t xml:space="preserve"> y la Unión Europea</w:t>
      </w:r>
      <w:r w:rsidRPr="008D7F27">
        <w:rPr>
          <w:lang w:val="es-ES"/>
        </w:rPr>
        <w:t xml:space="preserve">. En </w:t>
      </w:r>
      <w:r w:rsidRPr="008D7F27">
        <w:rPr>
          <w:lang w:val="es-ES"/>
        </w:rPr>
        <w:lastRenderedPageBreak/>
        <w:t>consecuencia, Alemania, Francia, Arabia Saudita y Corea del Sur al no contar con una definición oficial, no fueron considerados en la homogenización conceptual.</w:t>
      </w:r>
    </w:p>
    <w:p w14:paraId="7BA77E97" w14:textId="77777777" w:rsidR="000D1D4F" w:rsidRPr="008D7F27" w:rsidRDefault="000D1D4F" w:rsidP="000D1D4F">
      <w:pPr>
        <w:rPr>
          <w:color w:val="000000" w:themeColor="text1"/>
          <w:lang w:val="es-ES"/>
        </w:rPr>
      </w:pPr>
      <w:r w:rsidRPr="008D7F27">
        <w:rPr>
          <w:lang w:val="es-ES"/>
        </w:rPr>
        <w:t>La revisión realizada, permit</w:t>
      </w:r>
      <w:r w:rsidR="00687855" w:rsidRPr="008D7F27">
        <w:rPr>
          <w:lang w:val="es-ES"/>
        </w:rPr>
        <w:t>e</w:t>
      </w:r>
      <w:r w:rsidRPr="008D7F27">
        <w:rPr>
          <w:lang w:val="es-ES"/>
        </w:rPr>
        <w:t xml:space="preserve"> la identificación de insumos para la construcción del siguiente listado de variables, que recoge de manera desagregada los elementos conceptuales expresamente incorporados por los países analizados, en sus definiciones de minerales críticos:</w:t>
      </w:r>
    </w:p>
    <w:p w14:paraId="63B052E6" w14:textId="77777777" w:rsidR="00B10A32" w:rsidRPr="008D7F27" w:rsidRDefault="00B10A32">
      <w:pPr>
        <w:pStyle w:val="Prrafodelista"/>
        <w:numPr>
          <w:ilvl w:val="0"/>
          <w:numId w:val="12"/>
        </w:numPr>
        <w:rPr>
          <w:lang w:val="es-ES"/>
        </w:rPr>
      </w:pPr>
      <w:r w:rsidRPr="008D7F27">
        <w:rPr>
          <w:b/>
          <w:lang w:val="es-ES"/>
        </w:rPr>
        <w:t>Abastecimiento, vulnerabilidad o interrupción del suministro (8):</w:t>
      </w:r>
      <w:r w:rsidRPr="008D7F27">
        <w:rPr>
          <w:lang w:val="es-ES"/>
        </w:rPr>
        <w:t xml:space="preserve"> </w:t>
      </w:r>
      <w:r w:rsidR="000D1D4F" w:rsidRPr="008D7F27">
        <w:rPr>
          <w:lang w:val="es-ES"/>
        </w:rPr>
        <w:t>r</w:t>
      </w:r>
      <w:r w:rsidRPr="008D7F27">
        <w:rPr>
          <w:lang w:val="es-ES"/>
        </w:rPr>
        <w:t xml:space="preserve">efiere a la exposición del mineral a escenarios de amenaza, vulnerabilidad, dependencia o interrupción del abastecimiento y agrupa el “elevado riesgo de interrupción en la cadena de suministro” (Unión Europea), el “mayor riesgo de interrupción en el suministro” (Reino Unido), la “cadena de suministro amenazada” (Canadá), la “cadena de suministro vulnerable a interrupciones” (Estados Unidos), el carácter de minerales “susceptibles a interrupciones de suministro domésticas o internacionales” (Nueva Zelanda), la “alta dependencia de países específicos” y la “dificultad para encontrar suministros alternativos” (Japón), así como las “cadenas de suministro vulnerables a interrupciones” (Australia). </w:t>
      </w:r>
    </w:p>
    <w:p w14:paraId="7E693EE8" w14:textId="77777777" w:rsidR="00B10A32" w:rsidRPr="008D7F27" w:rsidRDefault="00B10A32">
      <w:pPr>
        <w:pStyle w:val="Prrafodelista"/>
        <w:numPr>
          <w:ilvl w:val="0"/>
          <w:numId w:val="12"/>
        </w:numPr>
        <w:rPr>
          <w:lang w:val="es-ES"/>
        </w:rPr>
      </w:pPr>
      <w:r w:rsidRPr="008D7F27">
        <w:rPr>
          <w:b/>
          <w:lang w:val="es-ES"/>
        </w:rPr>
        <w:t>Importancia o valor económico y macroeconómico (7):</w:t>
      </w:r>
      <w:r w:rsidRPr="008D7F27">
        <w:rPr>
          <w:lang w:val="es-ES"/>
        </w:rPr>
        <w:t xml:space="preserve"> </w:t>
      </w:r>
      <w:r w:rsidR="000D1D4F" w:rsidRPr="008D7F27">
        <w:rPr>
          <w:lang w:val="es-ES"/>
        </w:rPr>
        <w:t>s</w:t>
      </w:r>
      <w:r w:rsidRPr="008D7F27">
        <w:rPr>
          <w:lang w:val="es-ES"/>
        </w:rPr>
        <w:t xml:space="preserve">e vincula con el peso económico del mineral o con su papel en la economía del país y reúne la “gran importancia económica” (Unión Europea), la “mayor importancia económica” (Reino Unido), la “seguridad económica” (Canadá), la “seguridad económica” (Estados Unidos), el carácter de minerales “esenciales para la economía” (Nueva Zelanda), los “recursos esenciales que sustentan … la actividad económica” (Japón) y los minerales “esenciales para la economía” (Australia). </w:t>
      </w:r>
    </w:p>
    <w:p w14:paraId="269F4611" w14:textId="77777777" w:rsidR="00B10A32" w:rsidRPr="008D7F27" w:rsidRDefault="00B10A32">
      <w:pPr>
        <w:pStyle w:val="Prrafodelista"/>
        <w:numPr>
          <w:ilvl w:val="0"/>
          <w:numId w:val="12"/>
        </w:numPr>
        <w:rPr>
          <w:lang w:val="es-ES"/>
        </w:rPr>
      </w:pPr>
      <w:r w:rsidRPr="008D7F27">
        <w:rPr>
          <w:b/>
          <w:lang w:val="es-ES"/>
        </w:rPr>
        <w:t>Función productiva, industrial, tecnológica y de transición (6):</w:t>
      </w:r>
      <w:r w:rsidRPr="008D7F27">
        <w:rPr>
          <w:lang w:val="es-ES"/>
        </w:rPr>
        <w:t xml:space="preserve"> </w:t>
      </w:r>
      <w:r w:rsidR="000D1D4F" w:rsidRPr="008D7F27">
        <w:rPr>
          <w:lang w:val="es-ES"/>
        </w:rPr>
        <w:t>r</w:t>
      </w:r>
      <w:r w:rsidRPr="008D7F27">
        <w:rPr>
          <w:lang w:val="es-ES"/>
        </w:rPr>
        <w:t xml:space="preserve">efiere a minerales indispensables para la base productiva, industrial o tecnológica del país y reúne la condición de ser “necesario para la transición … hacia una economía digital sostenible y baja en carbono” (Canadá), la “función esencial en la fabricación de un producto” (Estados Unidos), el carácter de minerales “esenciales para las necesidades tecnológicas” (Nueva Zelanda), la referencia a “materias primas para diversos productos industriales” y a minerales “indispensables” para equipos de energía renovable y vehículos eléctricos (Japón), así como a recursos “esenciales para nuestras tecnologías modernas” (Australia). </w:t>
      </w:r>
    </w:p>
    <w:p w14:paraId="474FB059" w14:textId="77777777" w:rsidR="00B10A32" w:rsidRPr="008D7F27" w:rsidRDefault="00B10A32">
      <w:pPr>
        <w:pStyle w:val="Prrafodelista"/>
        <w:numPr>
          <w:ilvl w:val="0"/>
          <w:numId w:val="12"/>
        </w:numPr>
        <w:rPr>
          <w:lang w:val="es-ES"/>
        </w:rPr>
      </w:pPr>
      <w:r w:rsidRPr="008D7F27">
        <w:rPr>
          <w:b/>
          <w:lang w:val="es-ES"/>
        </w:rPr>
        <w:t>Seguridad nacional o defensa (4):</w:t>
      </w:r>
      <w:r w:rsidRPr="008D7F27">
        <w:rPr>
          <w:lang w:val="es-ES"/>
        </w:rPr>
        <w:t xml:space="preserve"> </w:t>
      </w:r>
      <w:r w:rsidR="000D1D4F" w:rsidRPr="008D7F27">
        <w:rPr>
          <w:lang w:val="es-ES"/>
        </w:rPr>
        <w:t>a</w:t>
      </w:r>
      <w:r w:rsidRPr="008D7F27">
        <w:rPr>
          <w:lang w:val="es-ES"/>
        </w:rPr>
        <w:t xml:space="preserve">grupa la “seguridad nacional” (Canadá), la “seguridad nacional” (Estados Unidos), la “seguridad nacional” (Nueva Zelanda) y la “seguridad nacional” (Australia). </w:t>
      </w:r>
    </w:p>
    <w:p w14:paraId="572D2CAF" w14:textId="77777777" w:rsidR="00B10A32" w:rsidRPr="008D7F27" w:rsidRDefault="00B10A32">
      <w:pPr>
        <w:pStyle w:val="Prrafodelista"/>
        <w:numPr>
          <w:ilvl w:val="0"/>
          <w:numId w:val="12"/>
        </w:numPr>
        <w:rPr>
          <w:lang w:val="es-ES"/>
        </w:rPr>
      </w:pPr>
      <w:r w:rsidRPr="008D7F27">
        <w:rPr>
          <w:b/>
          <w:lang w:val="es-ES"/>
        </w:rPr>
        <w:t>Posicionamiento internacional o relevancia para socios y cadenas globales (2):</w:t>
      </w:r>
      <w:r w:rsidRPr="008D7F27">
        <w:rPr>
          <w:lang w:val="es-ES"/>
        </w:rPr>
        <w:t xml:space="preserve"> </w:t>
      </w:r>
      <w:r w:rsidR="000D1D4F" w:rsidRPr="008D7F27">
        <w:rPr>
          <w:lang w:val="es-ES"/>
        </w:rPr>
        <w:t>r</w:t>
      </w:r>
      <w:r w:rsidRPr="008D7F27">
        <w:rPr>
          <w:lang w:val="es-ES"/>
        </w:rPr>
        <w:t xml:space="preserve">eúne el objetivo de “posicionar a Canadá como un socio sostenible y estratégico dentro de las cadenas de suministro globales” </w:t>
      </w:r>
      <w:r w:rsidRPr="008D7F27">
        <w:rPr>
          <w:lang w:val="es-ES"/>
        </w:rPr>
        <w:lastRenderedPageBreak/>
        <w:t xml:space="preserve">(Canadá) y el carácter de minerales “igualmente importantes para los socios internacionales del país” (Nueva Zelanda). </w:t>
      </w:r>
    </w:p>
    <w:p w14:paraId="7B18140E" w14:textId="77777777" w:rsidR="00B10A32" w:rsidRPr="008D7F27" w:rsidRDefault="00B10A32">
      <w:pPr>
        <w:pStyle w:val="Prrafodelista"/>
        <w:numPr>
          <w:ilvl w:val="0"/>
          <w:numId w:val="12"/>
        </w:numPr>
        <w:rPr>
          <w:lang w:val="es-ES"/>
        </w:rPr>
      </w:pPr>
      <w:r w:rsidRPr="008D7F27">
        <w:rPr>
          <w:b/>
          <w:lang w:val="es-ES"/>
        </w:rPr>
        <w:t>Producción o potencial doméstico (1):</w:t>
      </w:r>
      <w:r w:rsidRPr="008D7F27">
        <w:rPr>
          <w:lang w:val="es-ES"/>
        </w:rPr>
        <w:t xml:space="preserve"> </w:t>
      </w:r>
      <w:r w:rsidR="000D1D4F" w:rsidRPr="008D7F27">
        <w:rPr>
          <w:lang w:val="es-ES"/>
        </w:rPr>
        <w:t>c</w:t>
      </w:r>
      <w:r w:rsidRPr="008D7F27">
        <w:rPr>
          <w:lang w:val="es-ES"/>
        </w:rPr>
        <w:t xml:space="preserve">orresponde a la “probabilidad razonable de que el mineral sea producido por Canadá” (Canadá). </w:t>
      </w:r>
    </w:p>
    <w:p w14:paraId="65C65F29" w14:textId="77777777" w:rsidR="00920AA7" w:rsidRPr="008D7F27" w:rsidRDefault="00B10A32">
      <w:pPr>
        <w:pStyle w:val="Prrafodelista"/>
        <w:numPr>
          <w:ilvl w:val="0"/>
          <w:numId w:val="12"/>
        </w:numPr>
        <w:rPr>
          <w:lang w:val="es-ES"/>
        </w:rPr>
      </w:pPr>
      <w:r w:rsidRPr="008D7F27">
        <w:rPr>
          <w:b/>
          <w:lang w:val="es-ES"/>
        </w:rPr>
        <w:t>Ausencia de sustitución fácil (1):</w:t>
      </w:r>
      <w:r w:rsidRPr="008D7F27">
        <w:rPr>
          <w:lang w:val="es-ES"/>
        </w:rPr>
        <w:t xml:space="preserve"> </w:t>
      </w:r>
      <w:r w:rsidR="000D1D4F" w:rsidRPr="008D7F27">
        <w:rPr>
          <w:lang w:val="es-ES"/>
        </w:rPr>
        <w:t>h</w:t>
      </w:r>
      <w:r w:rsidRPr="008D7F27">
        <w:rPr>
          <w:lang w:val="es-ES"/>
        </w:rPr>
        <w:t>ace referencia a que lo “esencial” es aquello que “no puede ser sustituido fácilmente” (Nueva Zelanda).</w:t>
      </w:r>
    </w:p>
    <w:p w14:paraId="063D8E53" w14:textId="77777777" w:rsidR="00B10A32" w:rsidRPr="008D7F27" w:rsidRDefault="1732DFE5" w:rsidP="39B28450">
      <w:pPr>
        <w:pStyle w:val="Ttulo4"/>
        <w:rPr>
          <w:lang w:val="es-ES"/>
        </w:rPr>
      </w:pPr>
      <w:r w:rsidRPr="008D7F27">
        <w:rPr>
          <w:lang w:val="es-ES"/>
        </w:rPr>
        <w:t>Minerales estratégicos</w:t>
      </w:r>
    </w:p>
    <w:p w14:paraId="0289C53F" w14:textId="77777777" w:rsidR="00B10A32" w:rsidRPr="008D7F27" w:rsidRDefault="000D1D4F" w:rsidP="39B28450">
      <w:pPr>
        <w:rPr>
          <w:color w:val="000000" w:themeColor="text1"/>
          <w:lang w:val="es-ES"/>
        </w:rPr>
      </w:pPr>
      <w:r w:rsidRPr="008D7F27">
        <w:rPr>
          <w:lang w:val="es-ES"/>
        </w:rPr>
        <w:t xml:space="preserve">Con la información disponible de los países clasificados como economías de ingresos altos, se identificaron las siguientes definiciones oficiales relacionadas con minerales estratégicos en 3 de las 11 economías analizadas. Estos corresponden a Australia con la categoría de materiales estratégicos, el Reino Unido con la categoría de minerales de crecimiento, y a la Unión Europea con la categoría de materias primas estratégicas. A continuación, se presentan las definiciones o conceptos </w:t>
      </w:r>
      <w:r w:rsidR="008D7F27" w:rsidRPr="008D7F27">
        <w:rPr>
          <w:lang w:val="es-ES"/>
        </w:rPr>
        <w:t>relacionados para</w:t>
      </w:r>
      <w:r w:rsidRPr="008D7F27">
        <w:rPr>
          <w:lang w:val="es-ES"/>
        </w:rPr>
        <w:t xml:space="preserve"> cada caso:</w:t>
      </w:r>
    </w:p>
    <w:p w14:paraId="7A60B31D" w14:textId="77777777" w:rsidR="00083604" w:rsidRPr="008D7F27" w:rsidRDefault="00083604" w:rsidP="00083604">
      <w:pPr>
        <w:pStyle w:val="Descripcin"/>
        <w:rPr>
          <w:lang w:val="es-ES"/>
        </w:rPr>
      </w:pPr>
      <w:r w:rsidRPr="008D7F27">
        <w:rPr>
          <w:lang w:val="es-ES"/>
        </w:rPr>
        <w:t xml:space="preserve">Tabla </w:t>
      </w:r>
      <w:r w:rsidRPr="008D7F27">
        <w:rPr>
          <w:lang w:val="es-ES"/>
        </w:rPr>
        <w:fldChar w:fldCharType="begin"/>
      </w:r>
      <w:r w:rsidRPr="008D7F27">
        <w:rPr>
          <w:lang w:val="es-ES"/>
        </w:rPr>
        <w:instrText xml:space="preserve"> SEQ Tabla \* ARABIC </w:instrText>
      </w:r>
      <w:r w:rsidRPr="008D7F27">
        <w:rPr>
          <w:lang w:val="es-ES"/>
        </w:rPr>
        <w:fldChar w:fldCharType="separate"/>
      </w:r>
      <w:r w:rsidR="000E754D">
        <w:rPr>
          <w:noProof/>
          <w:lang w:val="es-ES"/>
        </w:rPr>
        <w:t>5</w:t>
      </w:r>
      <w:r w:rsidRPr="008D7F27">
        <w:rPr>
          <w:lang w:val="es-ES"/>
        </w:rPr>
        <w:fldChar w:fldCharType="end"/>
      </w:r>
      <w:r w:rsidRPr="008D7F27">
        <w:rPr>
          <w:lang w:val="es-ES"/>
        </w:rPr>
        <w:t xml:space="preserve"> Concepto de minerales estratégicos en economías de ingresos altos.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7050"/>
      </w:tblGrid>
      <w:tr w:rsidR="00083604" w:rsidRPr="008D7F27" w14:paraId="3FE6A0D6" w14:textId="77777777" w:rsidTr="00083604">
        <w:trPr>
          <w:trHeight w:val="120"/>
          <w:jc w:val="center"/>
        </w:trPr>
        <w:tc>
          <w:tcPr>
            <w:tcW w:w="2280" w:type="dxa"/>
            <w:shd w:val="clear" w:color="auto" w:fill="F2F2F2" w:themeFill="background1" w:themeFillShade="F2"/>
            <w:tcMar>
              <w:left w:w="60" w:type="dxa"/>
              <w:right w:w="60" w:type="dxa"/>
            </w:tcMar>
            <w:vAlign w:val="center"/>
          </w:tcPr>
          <w:p w14:paraId="6AC44656" w14:textId="77777777" w:rsidR="00083604" w:rsidRPr="008D7F27" w:rsidRDefault="00083604">
            <w:pPr>
              <w:jc w:val="center"/>
              <w:rPr>
                <w:color w:val="000000" w:themeColor="text1"/>
                <w:lang w:val="es-ES"/>
              </w:rPr>
            </w:pPr>
            <w:r w:rsidRPr="008D7F27">
              <w:rPr>
                <w:b/>
                <w:lang w:val="es-ES"/>
              </w:rPr>
              <w:t>País</w:t>
            </w:r>
          </w:p>
        </w:tc>
        <w:tc>
          <w:tcPr>
            <w:tcW w:w="7050" w:type="dxa"/>
            <w:shd w:val="clear" w:color="auto" w:fill="F2F2F2" w:themeFill="background1" w:themeFillShade="F2"/>
            <w:tcMar>
              <w:left w:w="60" w:type="dxa"/>
              <w:right w:w="60" w:type="dxa"/>
            </w:tcMar>
            <w:vAlign w:val="center"/>
          </w:tcPr>
          <w:p w14:paraId="06CB4A1B" w14:textId="77777777" w:rsidR="00083604" w:rsidRPr="008D7F27" w:rsidRDefault="00083604">
            <w:pPr>
              <w:jc w:val="center"/>
              <w:rPr>
                <w:color w:val="000000" w:themeColor="text1"/>
                <w:lang w:val="es-ES"/>
              </w:rPr>
            </w:pPr>
            <w:r w:rsidRPr="008D7F27">
              <w:rPr>
                <w:b/>
                <w:lang w:val="es-ES"/>
              </w:rPr>
              <w:t>Concepto de minerales estratégicos adoptado</w:t>
            </w:r>
          </w:p>
        </w:tc>
      </w:tr>
      <w:tr w:rsidR="00083604" w:rsidRPr="008D7F27" w14:paraId="0B1088D0" w14:textId="77777777" w:rsidTr="00083604">
        <w:trPr>
          <w:trHeight w:val="1050"/>
          <w:jc w:val="center"/>
        </w:trPr>
        <w:tc>
          <w:tcPr>
            <w:tcW w:w="2280" w:type="dxa"/>
            <w:tcMar>
              <w:left w:w="60" w:type="dxa"/>
              <w:right w:w="60" w:type="dxa"/>
            </w:tcMar>
            <w:vAlign w:val="center"/>
          </w:tcPr>
          <w:p w14:paraId="0DB4FFF9" w14:textId="77777777" w:rsidR="00083604" w:rsidRPr="008D7F27" w:rsidRDefault="00083604">
            <w:pPr>
              <w:rPr>
                <w:color w:val="000000" w:themeColor="text1"/>
                <w:lang w:val="es-ES"/>
              </w:rPr>
            </w:pPr>
            <w:r w:rsidRPr="008D7F27">
              <w:rPr>
                <w:b/>
                <w:lang w:val="es-ES"/>
              </w:rPr>
              <w:t>Unión Europea</w:t>
            </w:r>
          </w:p>
        </w:tc>
        <w:tc>
          <w:tcPr>
            <w:tcW w:w="7050" w:type="dxa"/>
            <w:tcMar>
              <w:left w:w="60" w:type="dxa"/>
              <w:right w:w="60" w:type="dxa"/>
            </w:tcMar>
            <w:vAlign w:val="bottom"/>
          </w:tcPr>
          <w:p w14:paraId="73CC98D8" w14:textId="77777777" w:rsidR="00561428" w:rsidRDefault="00926833">
            <w:pPr>
              <w:rPr>
                <w:lang w:val="es-ES"/>
              </w:rPr>
            </w:pPr>
            <w:r>
              <w:rPr>
                <w:lang w:val="es-ES"/>
              </w:rPr>
              <w:t xml:space="preserve">“Materias primas estratégicas (deben estar incluidas en las materias primas críticas) hacen referencia a las de gran importancia estratégica para el funcionamiento del mercado interior, teniendo en cuenta su uso en tecnologías estratégicas que sustentan las transiciones ecológicas y digital, o sus aplicaciones en los ámbitos de la defensa o aeroespacial.” </w:t>
            </w:r>
            <w:sdt>
              <w:sdtPr>
                <w:id w:val="975864266"/>
                <w:citation/>
              </w:sdtPr>
              <w:sdtContent>
                <w:r>
                  <w:fldChar w:fldCharType="begin"/>
                </w:r>
                <w:r>
                  <w:rPr>
                    <w:lang w:val="es-ES"/>
                  </w:rPr>
                  <w:instrText xml:space="preserve"> CITATION Com14 \l 3082 </w:instrText>
                </w:r>
                <w:r>
                  <w:fldChar w:fldCharType="separate"/>
                </w:r>
                <w:r w:rsidR="00E55C2E">
                  <w:rPr>
                    <w:noProof/>
                    <w:lang w:val="es-ES"/>
                  </w:rPr>
                  <w:t>(Comisión Europea, 2014)</w:t>
                </w:r>
                <w:r>
                  <w:fldChar w:fldCharType="end"/>
                </w:r>
              </w:sdtContent>
            </w:sdt>
            <w:r>
              <w:rPr>
                <w:lang w:val="es-ES"/>
              </w:rPr>
              <w:t xml:space="preserve"> </w:t>
            </w:r>
            <w:sdt>
              <w:sdtPr>
                <w:id w:val="500900312"/>
                <w:citation/>
              </w:sdtPr>
              <w:sdtContent>
                <w:r>
                  <w:fldChar w:fldCharType="begin"/>
                </w:r>
                <w:r>
                  <w:rPr>
                    <w:lang w:val="es-ES"/>
                  </w:rPr>
                  <w:instrText xml:space="preserve"> CITATION Eur17 \l 3082 </w:instrText>
                </w:r>
                <w:r>
                  <w:fldChar w:fldCharType="separate"/>
                </w:r>
                <w:r w:rsidR="00E55C2E">
                  <w:rPr>
                    <w:noProof/>
                    <w:lang w:val="es-ES"/>
                  </w:rPr>
                  <w:t>(European Commission, 2017)</w:t>
                </w:r>
                <w:r>
                  <w:fldChar w:fldCharType="end"/>
                </w:r>
              </w:sdtContent>
            </w:sdt>
            <w:r>
              <w:rPr>
                <w:lang w:val="es-ES"/>
              </w:rPr>
              <w:t xml:space="preserve"> </w:t>
            </w:r>
            <w:sdt>
              <w:sdtPr>
                <w:id w:val="730549030"/>
                <w:citation/>
              </w:sdtPr>
              <w:sdtContent>
                <w:r>
                  <w:fldChar w:fldCharType="begin"/>
                </w:r>
                <w:r>
                  <w:rPr>
                    <w:lang w:val="es-ES"/>
                  </w:rPr>
                  <w:instrText xml:space="preserve"> CITATION Eur20 \l 3082 </w:instrText>
                </w:r>
                <w:r>
                  <w:fldChar w:fldCharType="separate"/>
                </w:r>
                <w:r w:rsidR="00E55C2E">
                  <w:rPr>
                    <w:noProof/>
                    <w:lang w:val="es-ES"/>
                  </w:rPr>
                  <w:t>(European Union, 2020)</w:t>
                </w:r>
                <w:r>
                  <w:fldChar w:fldCharType="end"/>
                </w:r>
              </w:sdtContent>
            </w:sdt>
          </w:p>
        </w:tc>
      </w:tr>
      <w:tr w:rsidR="00083604" w:rsidRPr="008D7F27" w14:paraId="60D49772" w14:textId="77777777" w:rsidTr="00083604">
        <w:trPr>
          <w:trHeight w:val="1440"/>
          <w:jc w:val="center"/>
        </w:trPr>
        <w:tc>
          <w:tcPr>
            <w:tcW w:w="2280" w:type="dxa"/>
            <w:tcMar>
              <w:left w:w="60" w:type="dxa"/>
              <w:right w:w="60" w:type="dxa"/>
            </w:tcMar>
            <w:vAlign w:val="center"/>
          </w:tcPr>
          <w:p w14:paraId="145D4E16" w14:textId="77777777" w:rsidR="00083604" w:rsidRPr="008D7F27" w:rsidRDefault="00083604">
            <w:pPr>
              <w:rPr>
                <w:color w:val="000000" w:themeColor="text1"/>
                <w:lang w:val="es-ES"/>
              </w:rPr>
            </w:pPr>
            <w:r w:rsidRPr="008D7F27">
              <w:rPr>
                <w:b/>
                <w:lang w:val="es-ES"/>
              </w:rPr>
              <w:t>Australia</w:t>
            </w:r>
          </w:p>
        </w:tc>
        <w:tc>
          <w:tcPr>
            <w:tcW w:w="7050" w:type="dxa"/>
            <w:tcMar>
              <w:left w:w="60" w:type="dxa"/>
              <w:right w:w="60" w:type="dxa"/>
            </w:tcMar>
            <w:vAlign w:val="bottom"/>
          </w:tcPr>
          <w:p w14:paraId="5A895026" w14:textId="77777777" w:rsidR="00561428" w:rsidRDefault="00926833">
            <w:pPr>
              <w:rPr>
                <w:lang w:val="es-ES"/>
              </w:rPr>
            </w:pPr>
            <w:r>
              <w:rPr>
                <w:lang w:val="es-ES"/>
              </w:rPr>
              <w:t xml:space="preserve">“minerales que son importantes para la transición global hacia las emisiones netas cero y aplicaciones estratégicas más amplias… para los cuales Australia tiene potencial geológico de recursos… muy demandada por nuestros socios estratégicos internacionales… Sin embargo, sus cadenas de suministro no son actualmente lo suficientemente diversificadas.” </w:t>
            </w:r>
            <w:sdt>
              <w:sdtPr>
                <w:id w:val="689859795"/>
                <w:citation/>
              </w:sdtPr>
              <w:sdtContent>
                <w:r>
                  <w:fldChar w:fldCharType="begin"/>
                </w:r>
                <w:r>
                  <w:rPr>
                    <w:lang w:val="es-ES"/>
                  </w:rPr>
                  <w:instrText xml:space="preserve"> CITATION GobAU23 \l 3082 </w:instrText>
                </w:r>
                <w:r>
                  <w:fldChar w:fldCharType="separate"/>
                </w:r>
                <w:r w:rsidR="00E55C2E">
                  <w:rPr>
                    <w:noProof/>
                    <w:lang w:val="es-ES"/>
                  </w:rPr>
                  <w:t>(Gobierno de Australia, 2023)</w:t>
                </w:r>
                <w:r>
                  <w:fldChar w:fldCharType="end"/>
                </w:r>
              </w:sdtContent>
            </w:sdt>
          </w:p>
        </w:tc>
      </w:tr>
      <w:tr w:rsidR="00083604" w:rsidRPr="008D7F27" w14:paraId="203AA278" w14:textId="77777777" w:rsidTr="00083604">
        <w:trPr>
          <w:trHeight w:val="1050"/>
          <w:jc w:val="center"/>
        </w:trPr>
        <w:tc>
          <w:tcPr>
            <w:tcW w:w="2280" w:type="dxa"/>
            <w:tcMar>
              <w:left w:w="60" w:type="dxa"/>
              <w:right w:w="60" w:type="dxa"/>
            </w:tcMar>
            <w:vAlign w:val="center"/>
          </w:tcPr>
          <w:p w14:paraId="56C2E1DB" w14:textId="77777777" w:rsidR="00083604" w:rsidRPr="008D7F27" w:rsidRDefault="00083604">
            <w:pPr>
              <w:rPr>
                <w:color w:val="000000" w:themeColor="text1"/>
                <w:lang w:val="es-ES"/>
              </w:rPr>
            </w:pPr>
            <w:r w:rsidRPr="008D7F27">
              <w:rPr>
                <w:b/>
                <w:lang w:val="es-ES"/>
              </w:rPr>
              <w:t>Reino Unido</w:t>
            </w:r>
          </w:p>
        </w:tc>
        <w:tc>
          <w:tcPr>
            <w:tcW w:w="7050" w:type="dxa"/>
            <w:tcMar>
              <w:left w:w="60" w:type="dxa"/>
              <w:right w:w="60" w:type="dxa"/>
            </w:tcMar>
            <w:vAlign w:val="bottom"/>
          </w:tcPr>
          <w:p w14:paraId="0D5F688D" w14:textId="02982352" w:rsidR="00561428" w:rsidRDefault="00926833">
            <w:pPr>
              <w:rPr>
                <w:lang w:val="es-ES"/>
              </w:rPr>
            </w:pPr>
            <w:r>
              <w:rPr>
                <w:lang w:val="es-ES"/>
              </w:rPr>
              <w:t>“Minerales de Crecimiento (Growth Minerals): Concepto introducido recientemente para identificar materiales que, si bien pueden no cumplir los criterios técnicos de criticidad basados en datos históricos, son esenciales para los sectores de la Estrategia Industrial y cuya demanda se proyecta con un aumento drástico hacia el año 2035.”</w:t>
            </w:r>
            <w:customXmlDelRangeStart w:id="25" w:author="Fabio Andres Aleman Machado" w:date="2026-05-25T15:58:00Z"/>
            <w:sdt>
              <w:sdtPr>
                <w:id w:val="783167757"/>
                <w:citation/>
              </w:sdtPr>
              <w:sdtContent>
                <w:customXmlDelRangeEnd w:id="25"/>
                <w:customXmlDelRangeStart w:id="26" w:author="Fabio Andres Aleman Machado" w:date="2026-05-25T15:58:00Z"/>
              </w:sdtContent>
            </w:sdt>
            <w:customXmlDelRangeEnd w:id="26"/>
            <w:customXmlDelRangeStart w:id="27" w:author="Fabio Andres Aleman Machado" w:date="2026-05-25T15:58:00Z"/>
            <w:sdt>
              <w:sdtPr>
                <w:id w:val="430277548"/>
                <w:citation/>
              </w:sdtPr>
              <w:sdtContent>
                <w:customXmlDelRangeEnd w:id="27"/>
                <w:customXmlDelRangeStart w:id="28" w:author="Fabio Andres Aleman Machado" w:date="2026-05-25T15:58:00Z"/>
              </w:sdtContent>
            </w:sdt>
            <w:customXmlDelRangeEnd w:id="28"/>
            <w:r>
              <w:rPr>
                <w:lang w:val="es-ES"/>
              </w:rPr>
              <w:t xml:space="preserve"> </w:t>
            </w:r>
            <w:sdt>
              <w:sdtPr>
                <w:id w:val="349423002"/>
                <w:citation/>
              </w:sdtPr>
              <w:sdtContent>
                <w:r>
                  <w:fldChar w:fldCharType="begin"/>
                </w:r>
                <w:r>
                  <w:rPr>
                    <w:lang w:val="es-ES"/>
                  </w:rPr>
                  <w:instrText xml:space="preserve"> CITATION Dep25 \l 3082 </w:instrText>
                </w:r>
                <w:r>
                  <w:fldChar w:fldCharType="separate"/>
                </w:r>
                <w:r w:rsidR="00E55C2E">
                  <w:rPr>
                    <w:noProof/>
                    <w:lang w:val="es-ES"/>
                  </w:rPr>
                  <w:t>(Department of Mineral Resources and Petroleum, 2025)</w:t>
                </w:r>
                <w:r>
                  <w:fldChar w:fldCharType="end"/>
                </w:r>
              </w:sdtContent>
            </w:sdt>
            <w:r>
              <w:rPr>
                <w:lang w:val="es-ES"/>
              </w:rPr>
              <w:t xml:space="preserve"> </w:t>
            </w:r>
            <w:customXmlDelRangeStart w:id="29" w:author="Fabio Andres Aleman Machado" w:date="2026-05-25T15:58:00Z"/>
            <w:sdt>
              <w:sdtPr>
                <w:id w:val="770577843"/>
                <w:citation/>
              </w:sdtPr>
              <w:sdtContent>
                <w:customXmlDelRangeEnd w:id="29"/>
                <w:customXmlDelRangeStart w:id="30" w:author="Fabio Andres Aleman Machado" w:date="2026-05-25T15:58:00Z"/>
              </w:sdtContent>
            </w:sdt>
            <w:customXmlDelRangeEnd w:id="30"/>
          </w:p>
        </w:tc>
      </w:tr>
      <w:tr w:rsidR="00083604" w:rsidRPr="008D7F27" w14:paraId="4B3B42B5" w14:textId="77777777" w:rsidTr="00083604">
        <w:trPr>
          <w:trHeight w:val="525"/>
          <w:jc w:val="center"/>
        </w:trPr>
        <w:tc>
          <w:tcPr>
            <w:tcW w:w="2280" w:type="dxa"/>
            <w:tcMar>
              <w:left w:w="60" w:type="dxa"/>
              <w:right w:w="60" w:type="dxa"/>
            </w:tcMar>
            <w:vAlign w:val="center"/>
          </w:tcPr>
          <w:p w14:paraId="0477A6BF" w14:textId="77777777" w:rsidR="00083604" w:rsidRPr="008D7F27" w:rsidRDefault="00083604">
            <w:pPr>
              <w:rPr>
                <w:color w:val="000000" w:themeColor="text1"/>
                <w:lang w:val="es-ES"/>
              </w:rPr>
            </w:pPr>
            <w:r w:rsidRPr="008D7F27">
              <w:rPr>
                <w:b/>
                <w:lang w:val="es-ES"/>
              </w:rPr>
              <w:lastRenderedPageBreak/>
              <w:t>Alemania</w:t>
            </w:r>
          </w:p>
        </w:tc>
        <w:tc>
          <w:tcPr>
            <w:tcW w:w="7050" w:type="dxa"/>
            <w:tcMar>
              <w:left w:w="60" w:type="dxa"/>
              <w:right w:w="60" w:type="dxa"/>
            </w:tcMar>
            <w:vAlign w:val="bottom"/>
          </w:tcPr>
          <w:p w14:paraId="7D4495FF" w14:textId="77777777" w:rsidR="00561428" w:rsidRDefault="00926833">
            <w:pPr>
              <w:rPr>
                <w:lang w:val="es-ES"/>
              </w:rPr>
            </w:pPr>
            <w:r>
              <w:rPr>
                <w:lang w:val="es-ES"/>
              </w:rPr>
              <w:t xml:space="preserve">La lista DERA no declara formalmente materias primas críticas o estratégicas; el país opera, en lo vinculante, dentro del marco del CRMA europeo. </w:t>
            </w:r>
            <w:sdt>
              <w:sdtPr>
                <w:id w:val="259054678"/>
                <w:citation/>
              </w:sdtPr>
              <w:sdtContent>
                <w:r>
                  <w:fldChar w:fldCharType="begin"/>
                </w:r>
                <w:r>
                  <w:rPr>
                    <w:lang w:val="es-ES"/>
                  </w:rPr>
                  <w:instrText xml:space="preserve"> CITATION DER25 \l 3082 </w:instrText>
                </w:r>
                <w:r>
                  <w:fldChar w:fldCharType="separate"/>
                </w:r>
                <w:r w:rsidR="00E55C2E">
                  <w:rPr>
                    <w:noProof/>
                    <w:lang w:val="es-ES"/>
                  </w:rPr>
                  <w:t>(DERA, 2025)</w:t>
                </w:r>
                <w:r>
                  <w:fldChar w:fldCharType="end"/>
                </w:r>
              </w:sdtContent>
            </w:sdt>
          </w:p>
        </w:tc>
      </w:tr>
      <w:tr w:rsidR="00083604" w:rsidRPr="008D7F27" w14:paraId="7160FB82" w14:textId="77777777" w:rsidTr="00083604">
        <w:trPr>
          <w:trHeight w:val="390"/>
          <w:jc w:val="center"/>
        </w:trPr>
        <w:tc>
          <w:tcPr>
            <w:tcW w:w="2280" w:type="dxa"/>
            <w:tcMar>
              <w:left w:w="60" w:type="dxa"/>
              <w:right w:w="60" w:type="dxa"/>
            </w:tcMar>
            <w:vAlign w:val="center"/>
          </w:tcPr>
          <w:p w14:paraId="3B7B0953" w14:textId="77777777" w:rsidR="00083604" w:rsidRPr="008D7F27" w:rsidRDefault="00083604">
            <w:pPr>
              <w:rPr>
                <w:color w:val="000000" w:themeColor="text1"/>
                <w:lang w:val="es-ES"/>
              </w:rPr>
            </w:pPr>
            <w:r w:rsidRPr="008D7F27">
              <w:rPr>
                <w:b/>
                <w:lang w:val="es-ES"/>
              </w:rPr>
              <w:t>Francia</w:t>
            </w:r>
          </w:p>
        </w:tc>
        <w:tc>
          <w:tcPr>
            <w:tcW w:w="7050" w:type="dxa"/>
            <w:tcMar>
              <w:left w:w="60" w:type="dxa"/>
              <w:right w:w="60" w:type="dxa"/>
            </w:tcMar>
            <w:vAlign w:val="bottom"/>
          </w:tcPr>
          <w:p w14:paraId="7A217A62" w14:textId="77777777" w:rsidR="00561428" w:rsidRDefault="00926833">
            <w:pPr>
              <w:rPr>
                <w:lang w:val="es-ES"/>
              </w:rPr>
            </w:pPr>
            <w:r>
              <w:rPr>
                <w:lang w:val="es-ES"/>
              </w:rPr>
              <w:t xml:space="preserve">No se evidencia una definición de minerales estratégicos; sigue el marco de la Unión Europea. </w:t>
            </w:r>
            <w:sdt>
              <w:sdtPr>
                <w:id w:val="345242630"/>
                <w:citation/>
              </w:sdtPr>
              <w:sdtContent>
                <w:r>
                  <w:fldChar w:fldCharType="begin"/>
                </w:r>
                <w:r>
                  <w:rPr>
                    <w:lang w:val="es-ES"/>
                  </w:rPr>
                  <w:instrText xml:space="preserve"> CITATION SFA \l 3082 </w:instrText>
                </w:r>
                <w:r>
                  <w:fldChar w:fldCharType="separate"/>
                </w:r>
                <w:r w:rsidR="00E55C2E">
                  <w:rPr>
                    <w:noProof/>
                    <w:lang w:val="es-ES"/>
                  </w:rPr>
                  <w:t>(SFA Oxford, 2026)</w:t>
                </w:r>
                <w:r>
                  <w:fldChar w:fldCharType="end"/>
                </w:r>
              </w:sdtContent>
            </w:sdt>
          </w:p>
        </w:tc>
      </w:tr>
      <w:tr w:rsidR="00083604" w:rsidRPr="008D7F27" w14:paraId="54842D5A" w14:textId="77777777" w:rsidTr="00083604">
        <w:trPr>
          <w:trHeight w:val="255"/>
          <w:jc w:val="center"/>
        </w:trPr>
        <w:tc>
          <w:tcPr>
            <w:tcW w:w="2280" w:type="dxa"/>
            <w:tcMar>
              <w:left w:w="60" w:type="dxa"/>
              <w:right w:w="60" w:type="dxa"/>
            </w:tcMar>
            <w:vAlign w:val="center"/>
          </w:tcPr>
          <w:p w14:paraId="309D9873" w14:textId="77777777" w:rsidR="00083604" w:rsidRPr="008D7F27" w:rsidRDefault="00083604">
            <w:pPr>
              <w:rPr>
                <w:color w:val="000000" w:themeColor="text1"/>
                <w:lang w:val="es-ES"/>
              </w:rPr>
            </w:pPr>
            <w:r w:rsidRPr="008D7F27">
              <w:rPr>
                <w:b/>
                <w:lang w:val="es-ES"/>
              </w:rPr>
              <w:t>Arabia Saudita</w:t>
            </w:r>
          </w:p>
        </w:tc>
        <w:tc>
          <w:tcPr>
            <w:tcW w:w="7050" w:type="dxa"/>
            <w:tcMar>
              <w:left w:w="60" w:type="dxa"/>
              <w:right w:w="60" w:type="dxa"/>
            </w:tcMar>
            <w:vAlign w:val="bottom"/>
          </w:tcPr>
          <w:p w14:paraId="28EE2EBF" w14:textId="77777777" w:rsidR="00561428" w:rsidRDefault="00926833">
            <w:pPr>
              <w:rPr>
                <w:lang w:val="es-ES"/>
              </w:rPr>
            </w:pPr>
            <w:r>
              <w:rPr>
                <w:lang w:val="es-ES"/>
              </w:rPr>
              <w:t xml:space="preserve">No define formalmente minerales críticos ni estratégicos. </w:t>
            </w:r>
            <w:sdt>
              <w:sdtPr>
                <w:id w:val="360162101"/>
                <w:citation/>
              </w:sdtPr>
              <w:sdtContent>
                <w:r>
                  <w:fldChar w:fldCharType="begin"/>
                </w:r>
                <w:r>
                  <w:rPr>
                    <w:lang w:val="es-ES"/>
                  </w:rPr>
                  <w:instrText xml:space="preserve"> CITATION Rei16 \l 3082 </w:instrText>
                </w:r>
                <w:r>
                  <w:fldChar w:fldCharType="separate"/>
                </w:r>
                <w:r w:rsidR="00E55C2E">
                  <w:rPr>
                    <w:noProof/>
                    <w:lang w:val="es-ES"/>
                  </w:rPr>
                  <w:t>(Reino de Arabia Saudita, 2016)</w:t>
                </w:r>
                <w:r>
                  <w:fldChar w:fldCharType="end"/>
                </w:r>
              </w:sdtContent>
            </w:sdt>
            <w:r>
              <w:rPr>
                <w:lang w:val="es-ES"/>
              </w:rPr>
              <w:t xml:space="preserve"> </w:t>
            </w:r>
            <w:sdt>
              <w:sdtPr>
                <w:id w:val="880509335"/>
                <w:citation/>
              </w:sdtPr>
              <w:sdtContent>
                <w:r>
                  <w:fldChar w:fldCharType="begin"/>
                </w:r>
                <w:r>
                  <w:rPr>
                    <w:lang w:val="es-ES"/>
                  </w:rPr>
                  <w:instrText xml:space="preserve"> CITATION Rei21 \l 3082 </w:instrText>
                </w:r>
                <w:r>
                  <w:fldChar w:fldCharType="separate"/>
                </w:r>
                <w:r w:rsidR="00E55C2E">
                  <w:rPr>
                    <w:noProof/>
                    <w:lang w:val="es-ES"/>
                  </w:rPr>
                  <w:t>(Reino de Arabia Saudita, 2021)</w:t>
                </w:r>
                <w:r>
                  <w:fldChar w:fldCharType="end"/>
                </w:r>
              </w:sdtContent>
            </w:sdt>
          </w:p>
        </w:tc>
      </w:tr>
      <w:tr w:rsidR="00083604" w:rsidRPr="008D7F27" w14:paraId="1401A2AB" w14:textId="77777777" w:rsidTr="00083604">
        <w:trPr>
          <w:trHeight w:val="390"/>
          <w:jc w:val="center"/>
        </w:trPr>
        <w:tc>
          <w:tcPr>
            <w:tcW w:w="2280" w:type="dxa"/>
            <w:tcMar>
              <w:left w:w="60" w:type="dxa"/>
              <w:right w:w="60" w:type="dxa"/>
            </w:tcMar>
            <w:vAlign w:val="center"/>
          </w:tcPr>
          <w:p w14:paraId="6DCCB8F9" w14:textId="77777777" w:rsidR="00083604" w:rsidRPr="008D7F27" w:rsidRDefault="00083604">
            <w:pPr>
              <w:rPr>
                <w:color w:val="000000" w:themeColor="text1"/>
                <w:lang w:val="es-ES"/>
              </w:rPr>
            </w:pPr>
            <w:r w:rsidRPr="008D7F27">
              <w:rPr>
                <w:b/>
                <w:lang w:val="es-ES"/>
              </w:rPr>
              <w:t>Canadá</w:t>
            </w:r>
          </w:p>
        </w:tc>
        <w:tc>
          <w:tcPr>
            <w:tcW w:w="7050" w:type="dxa"/>
            <w:tcMar>
              <w:left w:w="60" w:type="dxa"/>
              <w:right w:w="60" w:type="dxa"/>
            </w:tcMar>
            <w:vAlign w:val="bottom"/>
          </w:tcPr>
          <w:p w14:paraId="61E11C25" w14:textId="77777777" w:rsidR="00561428" w:rsidRDefault="00926833">
            <w:pPr>
              <w:rPr>
                <w:lang w:val="es-ES"/>
              </w:rPr>
            </w:pPr>
            <w:r>
              <w:rPr>
                <w:lang w:val="es-ES"/>
              </w:rPr>
              <w:t xml:space="preserve">No se evidencia una definición de minerales estratégicos; desarrolla únicamente el concepto de mineral crítico. </w:t>
            </w:r>
            <w:sdt>
              <w:sdtPr>
                <w:id w:val="183941880"/>
                <w:citation/>
              </w:sdtPr>
              <w:sdtContent>
                <w:r>
                  <w:fldChar w:fldCharType="begin"/>
                </w:r>
                <w:r>
                  <w:rPr>
                    <w:lang w:val="es-ES"/>
                  </w:rPr>
                  <w:instrText xml:space="preserve"> CITATION CCM22 \l 3082 </w:instrText>
                </w:r>
                <w:r>
                  <w:fldChar w:fldCharType="separate"/>
                </w:r>
                <w:r w:rsidR="00E55C2E">
                  <w:rPr>
                    <w:noProof/>
                    <w:lang w:val="es-ES"/>
                  </w:rPr>
                  <w:t>(Natural Resources Canada, 2022)</w:t>
                </w:r>
                <w:r>
                  <w:fldChar w:fldCharType="end"/>
                </w:r>
              </w:sdtContent>
            </w:sdt>
            <w:r>
              <w:rPr>
                <w:lang w:val="es-ES"/>
              </w:rPr>
              <w:t xml:space="preserve"> </w:t>
            </w:r>
            <w:sdt>
              <w:sdtPr>
                <w:id w:val="569717406"/>
                <w:citation/>
              </w:sdtPr>
              <w:sdtContent>
                <w:r>
                  <w:fldChar w:fldCharType="begin"/>
                </w:r>
                <w:r>
                  <w:rPr>
                    <w:lang w:val="es-ES"/>
                  </w:rPr>
                  <w:instrText xml:space="preserve"> CITATION Con25 \l 3082 </w:instrText>
                </w:r>
                <w:r>
                  <w:fldChar w:fldCharType="separate"/>
                </w:r>
                <w:r w:rsidR="00E55C2E">
                  <w:rPr>
                    <w:noProof/>
                    <w:lang w:val="es-ES"/>
                  </w:rPr>
                  <w:t>(Natural Resources Canada, 2025)</w:t>
                </w:r>
                <w:r>
                  <w:fldChar w:fldCharType="end"/>
                </w:r>
              </w:sdtContent>
            </w:sdt>
          </w:p>
        </w:tc>
      </w:tr>
      <w:tr w:rsidR="00083604" w:rsidRPr="008D7F27" w14:paraId="0F36010D" w14:textId="77777777" w:rsidTr="00083604">
        <w:trPr>
          <w:trHeight w:val="390"/>
          <w:jc w:val="center"/>
        </w:trPr>
        <w:tc>
          <w:tcPr>
            <w:tcW w:w="2280" w:type="dxa"/>
            <w:tcMar>
              <w:left w:w="60" w:type="dxa"/>
              <w:right w:w="60" w:type="dxa"/>
            </w:tcMar>
            <w:vAlign w:val="center"/>
          </w:tcPr>
          <w:p w14:paraId="1DCA2AD4" w14:textId="77777777" w:rsidR="00083604" w:rsidRPr="008D7F27" w:rsidRDefault="00083604">
            <w:pPr>
              <w:rPr>
                <w:color w:val="000000" w:themeColor="text1"/>
                <w:lang w:val="es-ES"/>
              </w:rPr>
            </w:pPr>
            <w:r w:rsidRPr="008D7F27">
              <w:rPr>
                <w:b/>
                <w:lang w:val="es-ES"/>
              </w:rPr>
              <w:t>Estados Unidos</w:t>
            </w:r>
          </w:p>
        </w:tc>
        <w:tc>
          <w:tcPr>
            <w:tcW w:w="7050" w:type="dxa"/>
            <w:tcMar>
              <w:left w:w="60" w:type="dxa"/>
              <w:right w:w="60" w:type="dxa"/>
            </w:tcMar>
            <w:vAlign w:val="bottom"/>
          </w:tcPr>
          <w:p w14:paraId="6FD9BD09" w14:textId="77777777" w:rsidR="00561428" w:rsidRDefault="00926833">
            <w:pPr>
              <w:rPr>
                <w:lang w:val="es-ES"/>
              </w:rPr>
            </w:pPr>
            <w:r>
              <w:rPr>
                <w:lang w:val="es-ES"/>
              </w:rPr>
              <w:t xml:space="preserve">No se evidencia una definición de minerales estratégicos; desarrolla únicamente el concepto de mineral crítico. </w:t>
            </w:r>
            <w:sdt>
              <w:sdtPr>
                <w:id w:val="286246283"/>
                <w:citation/>
              </w:sdtPr>
              <w:sdtContent>
                <w:r>
                  <w:fldChar w:fldCharType="begin"/>
                </w:r>
                <w:r>
                  <w:rPr>
                    <w:lang w:val="es-ES"/>
                  </w:rPr>
                  <w:instrText xml:space="preserve"> CITATION USD20 \l 3082 </w:instrText>
                </w:r>
                <w:r>
                  <w:fldChar w:fldCharType="separate"/>
                </w:r>
                <w:r w:rsidR="00E55C2E">
                  <w:rPr>
                    <w:noProof/>
                    <w:lang w:val="es-ES"/>
                  </w:rPr>
                  <w:t>(U.S. Department of Energy, 2020)</w:t>
                </w:r>
                <w:r>
                  <w:fldChar w:fldCharType="end"/>
                </w:r>
              </w:sdtContent>
            </w:sdt>
          </w:p>
        </w:tc>
      </w:tr>
      <w:tr w:rsidR="00083604" w:rsidRPr="008D7F27" w14:paraId="4B3ADC1C" w14:textId="77777777" w:rsidTr="00083604">
        <w:trPr>
          <w:trHeight w:val="390"/>
          <w:jc w:val="center"/>
        </w:trPr>
        <w:tc>
          <w:tcPr>
            <w:tcW w:w="2280" w:type="dxa"/>
            <w:tcMar>
              <w:left w:w="60" w:type="dxa"/>
              <w:right w:w="60" w:type="dxa"/>
            </w:tcMar>
            <w:vAlign w:val="center"/>
          </w:tcPr>
          <w:p w14:paraId="25D31017" w14:textId="77777777" w:rsidR="00083604" w:rsidRPr="008D7F27" w:rsidRDefault="00083604">
            <w:pPr>
              <w:rPr>
                <w:color w:val="000000" w:themeColor="text1"/>
                <w:lang w:val="es-ES"/>
              </w:rPr>
            </w:pPr>
            <w:r w:rsidRPr="008D7F27">
              <w:rPr>
                <w:b/>
                <w:lang w:val="es-ES"/>
              </w:rPr>
              <w:t>Nueva Zelanda</w:t>
            </w:r>
          </w:p>
        </w:tc>
        <w:tc>
          <w:tcPr>
            <w:tcW w:w="7050" w:type="dxa"/>
            <w:tcMar>
              <w:left w:w="60" w:type="dxa"/>
              <w:right w:w="60" w:type="dxa"/>
            </w:tcMar>
            <w:vAlign w:val="bottom"/>
          </w:tcPr>
          <w:p w14:paraId="2D1CF6F5" w14:textId="77777777" w:rsidR="00561428" w:rsidRDefault="00926833">
            <w:pPr>
              <w:rPr>
                <w:lang w:val="es-ES"/>
              </w:rPr>
            </w:pPr>
            <w:r>
              <w:rPr>
                <w:lang w:val="es-ES"/>
              </w:rPr>
              <w:t xml:space="preserve">No se evidencia una definición de minerales estratégicos; se concentra en minerales críticos. </w:t>
            </w:r>
            <w:sdt>
              <w:sdtPr>
                <w:id w:val="760601407"/>
                <w:citation/>
              </w:sdtPr>
              <w:sdtContent>
                <w:r>
                  <w:fldChar w:fldCharType="begin"/>
                </w:r>
                <w:r>
                  <w:rPr>
                    <w:lang w:val="es-ES"/>
                  </w:rPr>
                  <w:instrText xml:space="preserve"> CITATION NzMin25 \l 3082 </w:instrText>
                </w:r>
                <w:r>
                  <w:fldChar w:fldCharType="separate"/>
                </w:r>
                <w:r w:rsidR="00E55C2E">
                  <w:rPr>
                    <w:noProof/>
                    <w:lang w:val="es-ES"/>
                  </w:rPr>
                  <w:t>(Ministry of Business, Innovation &amp; Employment, 2025)</w:t>
                </w:r>
                <w:r>
                  <w:fldChar w:fldCharType="end"/>
                </w:r>
              </w:sdtContent>
            </w:sdt>
          </w:p>
        </w:tc>
      </w:tr>
      <w:tr w:rsidR="00083604" w:rsidRPr="008D7F27" w14:paraId="1C6E5321" w14:textId="77777777" w:rsidTr="00083604">
        <w:trPr>
          <w:trHeight w:val="390"/>
          <w:jc w:val="center"/>
        </w:trPr>
        <w:tc>
          <w:tcPr>
            <w:tcW w:w="2280" w:type="dxa"/>
            <w:tcMar>
              <w:left w:w="60" w:type="dxa"/>
              <w:right w:w="60" w:type="dxa"/>
            </w:tcMar>
            <w:vAlign w:val="center"/>
          </w:tcPr>
          <w:p w14:paraId="2C1B0679" w14:textId="77777777" w:rsidR="00083604" w:rsidRPr="008D7F27" w:rsidRDefault="00083604">
            <w:pPr>
              <w:rPr>
                <w:color w:val="000000" w:themeColor="text1"/>
                <w:lang w:val="es-ES"/>
              </w:rPr>
            </w:pPr>
            <w:r w:rsidRPr="008D7F27">
              <w:rPr>
                <w:b/>
                <w:lang w:val="es-ES"/>
              </w:rPr>
              <w:t>Japón</w:t>
            </w:r>
          </w:p>
        </w:tc>
        <w:tc>
          <w:tcPr>
            <w:tcW w:w="7050" w:type="dxa"/>
            <w:tcMar>
              <w:left w:w="60" w:type="dxa"/>
              <w:right w:w="60" w:type="dxa"/>
            </w:tcMar>
            <w:vAlign w:val="bottom"/>
          </w:tcPr>
          <w:p w14:paraId="23D423CE" w14:textId="77777777" w:rsidR="00561428" w:rsidRDefault="00926833">
            <w:pPr>
              <w:rPr>
                <w:lang w:val="es-ES"/>
              </w:rPr>
            </w:pPr>
            <w:r>
              <w:rPr>
                <w:lang w:val="es-ES"/>
              </w:rPr>
              <w:t xml:space="preserve">No se evidencia una definición de minerales estratégicos; formaliza la categoría de minerales importantes, equivalente a críticos. </w:t>
            </w:r>
            <w:sdt>
              <w:sdtPr>
                <w:id w:val="989930626"/>
                <w:citation/>
              </w:sdtPr>
              <w:sdtContent>
                <w:r>
                  <w:fldChar w:fldCharType="begin"/>
                </w:r>
                <w:r>
                  <w:rPr>
                    <w:lang w:val="es-ES"/>
                  </w:rPr>
                  <w:instrText xml:space="preserve"> CITATION Min26 \l 3082 </w:instrText>
                </w:r>
                <w:r>
                  <w:fldChar w:fldCharType="separate"/>
                </w:r>
                <w:r w:rsidR="00E55C2E">
                  <w:rPr>
                    <w:noProof/>
                    <w:lang w:val="es-ES"/>
                  </w:rPr>
                  <w:t>(Ministerio de Economía, Comercio e Industria de Japón (METI), 2026)</w:t>
                </w:r>
                <w:r>
                  <w:fldChar w:fldCharType="end"/>
                </w:r>
              </w:sdtContent>
            </w:sdt>
          </w:p>
        </w:tc>
      </w:tr>
      <w:tr w:rsidR="00083604" w:rsidRPr="008D7F27" w14:paraId="6A9834B9" w14:textId="77777777" w:rsidTr="00083604">
        <w:trPr>
          <w:trHeight w:val="255"/>
          <w:jc w:val="center"/>
        </w:trPr>
        <w:tc>
          <w:tcPr>
            <w:tcW w:w="2280" w:type="dxa"/>
            <w:tcMar>
              <w:left w:w="60" w:type="dxa"/>
              <w:right w:w="60" w:type="dxa"/>
            </w:tcMar>
            <w:vAlign w:val="center"/>
          </w:tcPr>
          <w:p w14:paraId="4F77E2CB" w14:textId="77777777" w:rsidR="00083604" w:rsidRPr="008D7F27" w:rsidRDefault="00083604">
            <w:pPr>
              <w:rPr>
                <w:color w:val="000000" w:themeColor="text1"/>
                <w:lang w:val="es-ES"/>
              </w:rPr>
            </w:pPr>
            <w:r w:rsidRPr="008D7F27">
              <w:rPr>
                <w:b/>
                <w:lang w:val="es-ES"/>
              </w:rPr>
              <w:t>Corea del Sur</w:t>
            </w:r>
          </w:p>
        </w:tc>
        <w:tc>
          <w:tcPr>
            <w:tcW w:w="7050" w:type="dxa"/>
            <w:tcMar>
              <w:left w:w="60" w:type="dxa"/>
              <w:right w:w="60" w:type="dxa"/>
            </w:tcMar>
            <w:vAlign w:val="bottom"/>
          </w:tcPr>
          <w:p w14:paraId="45445C5D" w14:textId="77777777" w:rsidR="00561428" w:rsidRDefault="00926833">
            <w:pPr>
              <w:rPr>
                <w:lang w:val="es-ES"/>
              </w:rPr>
            </w:pPr>
            <w:r>
              <w:rPr>
                <w:lang w:val="es-ES"/>
              </w:rPr>
              <w:t xml:space="preserve">No presenta una definición específica para minerales críticos y/o estratégicos. </w:t>
            </w:r>
            <w:sdt>
              <w:sdtPr>
                <w:id w:val="574080539"/>
                <w:citation/>
              </w:sdtPr>
              <w:sdtContent>
                <w:r>
                  <w:fldChar w:fldCharType="begin"/>
                </w:r>
                <w:r>
                  <w:rPr>
                    <w:lang w:val="es-ES"/>
                  </w:rPr>
                  <w:instrText xml:space="preserve"> CITATION Int25 \l 3082 </w:instrText>
                </w:r>
                <w:r>
                  <w:fldChar w:fldCharType="separate"/>
                </w:r>
                <w:r w:rsidR="00E55C2E">
                  <w:rPr>
                    <w:noProof/>
                    <w:lang w:val="es-ES"/>
                  </w:rPr>
                  <w:t>(International Energy Agency, 2025)</w:t>
                </w:r>
                <w:r>
                  <w:fldChar w:fldCharType="end"/>
                </w:r>
              </w:sdtContent>
            </w:sdt>
          </w:p>
        </w:tc>
      </w:tr>
    </w:tbl>
    <w:p w14:paraId="6C2B8E59" w14:textId="40033871" w:rsidR="00687855" w:rsidRPr="008D7F27" w:rsidRDefault="00687855" w:rsidP="00687855">
      <w:pPr>
        <w:pStyle w:val="Fuente"/>
        <w:rPr>
          <w:color w:val="000000" w:themeColor="text1"/>
          <w:sz w:val="18"/>
          <w:szCs w:val="18"/>
          <w:lang w:val="es-ES"/>
        </w:rPr>
      </w:pPr>
      <w:r w:rsidRPr="008D7F27">
        <w:rPr>
          <w:lang w:val="es-ES"/>
        </w:rPr>
        <w:t>Fuente: Elaboración propia a partir de las fichas.</w:t>
      </w:r>
    </w:p>
    <w:p w14:paraId="5E00D0CF" w14:textId="77777777" w:rsidR="00DA6A81" w:rsidRPr="008D7F27" w:rsidRDefault="00687855" w:rsidP="00DA6A81">
      <w:pPr>
        <w:rPr>
          <w:color w:val="000000" w:themeColor="text1"/>
          <w:lang w:val="es-ES"/>
        </w:rPr>
      </w:pPr>
      <w:r w:rsidRPr="008D7F27">
        <w:rPr>
          <w:lang w:val="es-ES"/>
        </w:rPr>
        <w:t xml:space="preserve">Dado </w:t>
      </w:r>
      <w:r w:rsidR="00DA6A81" w:rsidRPr="008D7F27">
        <w:rPr>
          <w:lang w:val="es-ES"/>
        </w:rPr>
        <w:t>lo anterior, se realiz</w:t>
      </w:r>
      <w:r w:rsidRPr="008D7F27">
        <w:rPr>
          <w:lang w:val="es-ES"/>
        </w:rPr>
        <w:t>a</w:t>
      </w:r>
      <w:r w:rsidR="00DA6A81" w:rsidRPr="008D7F27">
        <w:rPr>
          <w:lang w:val="es-ES"/>
        </w:rPr>
        <w:t xml:space="preserve"> un análisis comparativo considerando los países que presentan una definición </w:t>
      </w:r>
      <w:r w:rsidR="008D7F27" w:rsidRPr="008D7F27">
        <w:rPr>
          <w:lang w:val="es-ES"/>
        </w:rPr>
        <w:t>oficial de</w:t>
      </w:r>
      <w:r w:rsidR="00DA6A81" w:rsidRPr="008D7F27">
        <w:rPr>
          <w:lang w:val="es-ES"/>
        </w:rPr>
        <w:t xml:space="preserve"> minerales estratégicos, tales como: Reino Unido, Australia y la Unión Europea. En consecuencia, Alemania, Francia, Arabia Saudita, Canadá, Estados Unidos, Nueva Zelanda, Japón y Corea del Sur al no contar con una definición oficial, no fueron considerados en la homogenización conceptual.</w:t>
      </w:r>
    </w:p>
    <w:p w14:paraId="6057855D" w14:textId="77777777" w:rsidR="00DA6A81" w:rsidRPr="008D7F27" w:rsidRDefault="00DA6A81" w:rsidP="00DA6A81">
      <w:pPr>
        <w:rPr>
          <w:color w:val="000000" w:themeColor="text1"/>
          <w:lang w:val="es-ES"/>
        </w:rPr>
      </w:pPr>
      <w:r w:rsidRPr="008D7F27">
        <w:rPr>
          <w:lang w:val="es-ES"/>
        </w:rPr>
        <w:t>La revisión realizada, permit</w:t>
      </w:r>
      <w:r w:rsidR="00687855" w:rsidRPr="008D7F27">
        <w:rPr>
          <w:lang w:val="es-ES"/>
        </w:rPr>
        <w:t xml:space="preserve">e identificar </w:t>
      </w:r>
      <w:r w:rsidRPr="008D7F27">
        <w:rPr>
          <w:lang w:val="es-ES"/>
        </w:rPr>
        <w:t>insumos para la construcción del siguiente listado de variables, que recoge de manera desagregada los elementos conceptuales expresamente incorporados por los países analizados, en sus definiciones de minerales estratégicos:</w:t>
      </w:r>
    </w:p>
    <w:p w14:paraId="18A43DC5" w14:textId="77777777" w:rsidR="00B10A32" w:rsidRPr="008D7F27" w:rsidRDefault="00B10A32">
      <w:pPr>
        <w:pStyle w:val="Prrafodelista"/>
        <w:numPr>
          <w:ilvl w:val="0"/>
          <w:numId w:val="13"/>
        </w:numPr>
        <w:rPr>
          <w:lang w:val="es-ES"/>
        </w:rPr>
      </w:pPr>
      <w:r w:rsidRPr="008D7F27">
        <w:rPr>
          <w:b/>
          <w:lang w:val="es-ES"/>
        </w:rPr>
        <w:t>Función productiva, industrial, tecnológica y de transición (3):</w:t>
      </w:r>
      <w:r w:rsidRPr="008D7F27">
        <w:rPr>
          <w:lang w:val="es-ES"/>
        </w:rPr>
        <w:t xml:space="preserve"> </w:t>
      </w:r>
      <w:r w:rsidR="00DA6A81" w:rsidRPr="008D7F27">
        <w:rPr>
          <w:lang w:val="es-ES"/>
        </w:rPr>
        <w:t>r</w:t>
      </w:r>
      <w:r w:rsidRPr="008D7F27">
        <w:rPr>
          <w:lang w:val="es-ES"/>
        </w:rPr>
        <w:t xml:space="preserve">efiere a minerales relevantes para sectores estratégicos, tecnologías clave y transiciones productivas, y reúne el “uso en tecnologías estratégicas que sustentan las transiciones ecológica y digital” (Unión Europea), el carácter de </w:t>
      </w:r>
      <w:r w:rsidRPr="008D7F27">
        <w:rPr>
          <w:lang w:val="es-ES"/>
        </w:rPr>
        <w:lastRenderedPageBreak/>
        <w:t xml:space="preserve">minerales “importantes para la transición global hacia las emisiones netas cero y aplicaciones estratégicas más amplias” (Australia) y la referencia a minerales “esenciales para los sectores de la Estrategia Industrial” (Reino Unido). </w:t>
      </w:r>
    </w:p>
    <w:p w14:paraId="6FE26124" w14:textId="77777777" w:rsidR="00B10A32" w:rsidRPr="008D7F27" w:rsidRDefault="00B10A32">
      <w:pPr>
        <w:pStyle w:val="Prrafodelista"/>
        <w:numPr>
          <w:ilvl w:val="0"/>
          <w:numId w:val="13"/>
        </w:numPr>
        <w:rPr>
          <w:lang w:val="es-ES"/>
        </w:rPr>
      </w:pPr>
      <w:r w:rsidRPr="008D7F27">
        <w:rPr>
          <w:b/>
          <w:lang w:val="es-ES"/>
        </w:rPr>
        <w:t>Seguridad, defensa y mercado interior (2):</w:t>
      </w:r>
      <w:r w:rsidRPr="008D7F27">
        <w:rPr>
          <w:lang w:val="es-ES"/>
        </w:rPr>
        <w:t xml:space="preserve"> </w:t>
      </w:r>
      <w:r w:rsidR="00DA6A81" w:rsidRPr="008D7F27">
        <w:rPr>
          <w:lang w:val="es-ES"/>
        </w:rPr>
        <w:t>a</w:t>
      </w:r>
      <w:r w:rsidRPr="008D7F27">
        <w:rPr>
          <w:lang w:val="es-ES"/>
        </w:rPr>
        <w:t xml:space="preserve">grupa la “gran importancia estratégica para el funcionamiento del mercado interior” (Unión Europea) y las “aplicaciones en defensa o aeroespacial” (Unión Europea). </w:t>
      </w:r>
    </w:p>
    <w:p w14:paraId="5AB59338" w14:textId="77777777" w:rsidR="00B10A32" w:rsidRPr="008D7F27" w:rsidRDefault="00B10A32">
      <w:pPr>
        <w:pStyle w:val="Prrafodelista"/>
        <w:numPr>
          <w:ilvl w:val="0"/>
          <w:numId w:val="13"/>
        </w:numPr>
        <w:rPr>
          <w:lang w:val="es-ES"/>
        </w:rPr>
      </w:pPr>
      <w:r w:rsidRPr="008D7F27">
        <w:rPr>
          <w:b/>
          <w:lang w:val="es-ES"/>
        </w:rPr>
        <w:t>Potencial geológico y posicionamiento frente a socios estratégicos (2):</w:t>
      </w:r>
      <w:r w:rsidRPr="008D7F27">
        <w:rPr>
          <w:lang w:val="es-ES"/>
        </w:rPr>
        <w:t xml:space="preserve"> </w:t>
      </w:r>
      <w:r w:rsidR="00DA6A81" w:rsidRPr="008D7F27">
        <w:rPr>
          <w:lang w:val="es-ES"/>
        </w:rPr>
        <w:t>r</w:t>
      </w:r>
      <w:r w:rsidRPr="008D7F27">
        <w:rPr>
          <w:lang w:val="es-ES"/>
        </w:rPr>
        <w:t xml:space="preserve">eúne el “potencial geológico de recursos” (Australia) y el hecho de ser minerales “muy demandados por socios estratégicos internacionales” (Australia). </w:t>
      </w:r>
    </w:p>
    <w:p w14:paraId="02DDAFD4" w14:textId="77777777" w:rsidR="00B10A32" w:rsidRPr="008D7F27" w:rsidRDefault="00B10A32">
      <w:pPr>
        <w:pStyle w:val="Prrafodelista"/>
        <w:numPr>
          <w:ilvl w:val="0"/>
          <w:numId w:val="13"/>
        </w:numPr>
        <w:rPr>
          <w:lang w:val="es-ES"/>
        </w:rPr>
      </w:pPr>
      <w:r w:rsidRPr="008D7F27">
        <w:rPr>
          <w:b/>
          <w:lang w:val="es-ES"/>
        </w:rPr>
        <w:t>Suministro robusto o no suficientemente vulnerable para ser crítico (2):</w:t>
      </w:r>
      <w:r w:rsidRPr="008D7F27">
        <w:rPr>
          <w:lang w:val="es-ES"/>
        </w:rPr>
        <w:t xml:space="preserve"> </w:t>
      </w:r>
      <w:r w:rsidR="00DA6A81" w:rsidRPr="008D7F27">
        <w:rPr>
          <w:lang w:val="es-ES"/>
        </w:rPr>
        <w:t>a</w:t>
      </w:r>
      <w:r w:rsidRPr="008D7F27">
        <w:rPr>
          <w:lang w:val="es-ES"/>
        </w:rPr>
        <w:t>grupa la idea de que las “cadenas de suministro no son actualmente lo suficientemente vulnerables como para cumplir los criterios” de criticidad (Australia) y la referencia a materiales que “pueden no cumplir los criterios técnicos de criticidad basados en datos históricos” (Reino Unido).</w:t>
      </w:r>
    </w:p>
    <w:p w14:paraId="0DAEFB63" w14:textId="77777777" w:rsidR="003056EE" w:rsidRPr="008D7F27" w:rsidRDefault="00B10A32">
      <w:pPr>
        <w:pStyle w:val="Prrafodelista"/>
        <w:numPr>
          <w:ilvl w:val="0"/>
          <w:numId w:val="13"/>
        </w:numPr>
        <w:rPr>
          <w:lang w:val="es-ES"/>
        </w:rPr>
      </w:pPr>
      <w:r w:rsidRPr="008D7F27">
        <w:rPr>
          <w:b/>
          <w:lang w:val="es-ES"/>
        </w:rPr>
        <w:t>Demanda futura y crecimiento proyectado (1):</w:t>
      </w:r>
      <w:r w:rsidRPr="008D7F27">
        <w:rPr>
          <w:lang w:val="es-ES"/>
        </w:rPr>
        <w:t xml:space="preserve"> </w:t>
      </w:r>
      <w:r w:rsidR="00DA6A81" w:rsidRPr="008D7F27">
        <w:rPr>
          <w:lang w:val="es-ES"/>
        </w:rPr>
        <w:t>h</w:t>
      </w:r>
      <w:r w:rsidRPr="008D7F27">
        <w:rPr>
          <w:lang w:val="es-ES"/>
        </w:rPr>
        <w:t xml:space="preserve">ace referencia a la “demanda proyectada con aumento drástico hacia 2035” (Reino Unido). </w:t>
      </w:r>
    </w:p>
    <w:p w14:paraId="0CEEAE42" w14:textId="77777777" w:rsidR="0007388E" w:rsidRPr="008D7F27" w:rsidRDefault="607A4E90" w:rsidP="00907C68">
      <w:pPr>
        <w:pStyle w:val="Ttulo3"/>
        <w:rPr>
          <w:lang w:val="es-ES"/>
        </w:rPr>
      </w:pPr>
      <w:bookmarkStart w:id="31" w:name="_Toc229145825"/>
      <w:bookmarkStart w:id="32" w:name="_Toc435837018"/>
      <w:r w:rsidRPr="16F44784">
        <w:rPr>
          <w:lang w:val="es-ES"/>
        </w:rPr>
        <w:t xml:space="preserve">Resultado comparativo de </w:t>
      </w:r>
      <w:r w:rsidR="3C3F1DF3" w:rsidRPr="16F44784">
        <w:rPr>
          <w:lang w:val="es-ES"/>
        </w:rPr>
        <w:t xml:space="preserve">conceptos en economías de ingresos </w:t>
      </w:r>
      <w:r w:rsidR="3BA4C2E0" w:rsidRPr="16F44784">
        <w:rPr>
          <w:lang w:val="es-ES"/>
        </w:rPr>
        <w:t>altos</w:t>
      </w:r>
      <w:bookmarkEnd w:id="31"/>
      <w:bookmarkEnd w:id="32"/>
    </w:p>
    <w:p w14:paraId="3B9FC151" w14:textId="77777777" w:rsidR="00DA6A81" w:rsidRPr="008D7F27" w:rsidRDefault="00DA6A81" w:rsidP="00DA6A81">
      <w:pPr>
        <w:rPr>
          <w:lang w:val="es-ES"/>
        </w:rPr>
      </w:pPr>
      <w:r w:rsidRPr="008D7F27">
        <w:rPr>
          <w:lang w:val="es-ES"/>
        </w:rPr>
        <w:t>La revisión comparativa de los conceptos adoptados en las economías de ingresos altos permite identificar que no todos los países definen de la misma manera las categorías de minerales críticos y minerales estratégicos; sin embargo, es posible identificar un conjunto de núcleos conceptuales recurrentes que permiten la interpretación de la relevancia de ciertos minerales dentro de las economías analizadas, sus sectores productivos</w:t>
      </w:r>
      <w:r w:rsidR="00CE7491" w:rsidRPr="008D7F27">
        <w:rPr>
          <w:lang w:val="es-ES"/>
        </w:rPr>
        <w:t>, sus estrategias de seguridad y sus cadenas tecnológicas</w:t>
      </w:r>
      <w:r w:rsidRPr="008D7F27">
        <w:rPr>
          <w:lang w:val="es-ES"/>
        </w:rPr>
        <w:t>.</w:t>
      </w:r>
    </w:p>
    <w:p w14:paraId="7AC801C3" w14:textId="77777777" w:rsidR="00CE7491" w:rsidRPr="008D7F27" w:rsidRDefault="00CE7491" w:rsidP="00CE7491">
      <w:pPr>
        <w:rPr>
          <w:lang w:val="es-ES"/>
        </w:rPr>
      </w:pPr>
      <w:r w:rsidRPr="008D7F27">
        <w:rPr>
          <w:lang w:val="es-ES"/>
        </w:rPr>
        <w:t>Se identific</w:t>
      </w:r>
      <w:r w:rsidR="00687855" w:rsidRPr="008D7F27">
        <w:rPr>
          <w:lang w:val="es-ES"/>
        </w:rPr>
        <w:t>a</w:t>
      </w:r>
      <w:r w:rsidRPr="008D7F27">
        <w:rPr>
          <w:lang w:val="es-ES"/>
        </w:rPr>
        <w:t xml:space="preserve"> que, a pesar de encontrar diferencias </w:t>
      </w:r>
      <w:r w:rsidR="00687855" w:rsidRPr="008D7F27">
        <w:rPr>
          <w:lang w:val="es-ES"/>
        </w:rPr>
        <w:t xml:space="preserve">conceptuales </w:t>
      </w:r>
      <w:r w:rsidRPr="008D7F27">
        <w:rPr>
          <w:lang w:val="es-ES"/>
        </w:rPr>
        <w:t xml:space="preserve">de minerales críticos y/o estratégicos, la </w:t>
      </w:r>
      <w:r w:rsidR="00687855" w:rsidRPr="008D7F27">
        <w:rPr>
          <w:lang w:val="es-ES"/>
        </w:rPr>
        <w:t>definición</w:t>
      </w:r>
      <w:r w:rsidRPr="008D7F27">
        <w:rPr>
          <w:lang w:val="es-ES"/>
        </w:rPr>
        <w:t xml:space="preserve"> de los mismos se construye considerando variables relacionadas con: abastecimiento, economía, función tecnológica e industrial, seguridad, transición energética y posición frente a cadenas de suministro globales.</w:t>
      </w:r>
    </w:p>
    <w:p w14:paraId="65F87EAA" w14:textId="13B91499" w:rsidR="00CE7491" w:rsidRPr="008D7F27" w:rsidRDefault="00CE7491" w:rsidP="00CE7491">
      <w:pPr>
        <w:rPr>
          <w:lang w:val="es-ES"/>
        </w:rPr>
      </w:pPr>
      <w:r w:rsidRPr="008D7F27">
        <w:rPr>
          <w:lang w:val="es-ES"/>
        </w:rPr>
        <w:t xml:space="preserve">Por lo anterior, el conjunto de variables identificadas en ambos conceptos se reorganizó en un solo listado acorde con su </w:t>
      </w:r>
      <w:r w:rsidR="00EA7F2E">
        <w:rPr>
          <w:lang w:val="es-ES"/>
        </w:rPr>
        <w:t>Recurrencia</w:t>
      </w:r>
      <w:r w:rsidRPr="008D7F27">
        <w:rPr>
          <w:lang w:val="es-ES"/>
        </w:rPr>
        <w:t>, tal como se muestra a continuación:</w:t>
      </w:r>
    </w:p>
    <w:p w14:paraId="09201E19" w14:textId="77777777" w:rsidR="00B10A32" w:rsidRPr="008D7F27" w:rsidRDefault="00B10A32">
      <w:pPr>
        <w:pStyle w:val="Prrafodelista"/>
        <w:numPr>
          <w:ilvl w:val="0"/>
          <w:numId w:val="14"/>
        </w:numPr>
        <w:rPr>
          <w:lang w:val="es-ES"/>
        </w:rPr>
      </w:pPr>
      <w:r w:rsidRPr="008D7F27">
        <w:rPr>
          <w:b/>
          <w:lang w:val="es-ES"/>
        </w:rPr>
        <w:t>Abastecimiento, vulnerabilidad o restricción del suministro (10):</w:t>
      </w:r>
      <w:r w:rsidRPr="008D7F27">
        <w:rPr>
          <w:lang w:val="es-ES"/>
        </w:rPr>
        <w:t xml:space="preserve"> </w:t>
      </w:r>
      <w:r w:rsidR="00922A68" w:rsidRPr="008D7F27">
        <w:rPr>
          <w:lang w:val="es-ES"/>
        </w:rPr>
        <w:t>a</w:t>
      </w:r>
      <w:r w:rsidRPr="008D7F27">
        <w:rPr>
          <w:lang w:val="es-ES"/>
        </w:rPr>
        <w:t xml:space="preserve">grupa los elementos relacionados con riesgo de interrupción, amenaza o vulnerabilidad de la cadena de suministro, dependencia de países específicos, dificultad de encontrar suministros alternativos y, en el plano estratégico, la consideración de que ciertos materiales no sean hoy suficientemente vulnerables o no cumplan todavía con los criterios técnicos de criticidad. </w:t>
      </w:r>
    </w:p>
    <w:p w14:paraId="302F4C7F" w14:textId="77777777" w:rsidR="00B10A32" w:rsidRPr="008D7F27" w:rsidRDefault="00B10A32">
      <w:pPr>
        <w:pStyle w:val="Prrafodelista"/>
        <w:numPr>
          <w:ilvl w:val="0"/>
          <w:numId w:val="14"/>
        </w:numPr>
        <w:rPr>
          <w:lang w:val="es-ES"/>
        </w:rPr>
      </w:pPr>
      <w:r w:rsidRPr="008D7F27">
        <w:rPr>
          <w:b/>
          <w:lang w:val="es-ES"/>
        </w:rPr>
        <w:lastRenderedPageBreak/>
        <w:t>Función productiva, industrial, tecnológica y de transición (9):</w:t>
      </w:r>
      <w:r w:rsidRPr="008D7F27">
        <w:rPr>
          <w:lang w:val="es-ES"/>
        </w:rPr>
        <w:t xml:space="preserve"> </w:t>
      </w:r>
      <w:r w:rsidR="00922A68" w:rsidRPr="008D7F27">
        <w:rPr>
          <w:lang w:val="es-ES"/>
        </w:rPr>
        <w:t>i</w:t>
      </w:r>
      <w:r w:rsidRPr="008D7F27">
        <w:rPr>
          <w:lang w:val="es-ES"/>
        </w:rPr>
        <w:t xml:space="preserve">ntegra las variables que vinculan el mineral con la fabricación de productos, la base industrial, las necesidades tecnológicas, las tecnologías estratégicas y las transiciones ecológica, digital y de bajas emisiones. </w:t>
      </w:r>
    </w:p>
    <w:p w14:paraId="21966C72" w14:textId="77777777" w:rsidR="00B10A32" w:rsidRPr="008D7F27" w:rsidRDefault="00B10A32">
      <w:pPr>
        <w:pStyle w:val="Prrafodelista"/>
        <w:numPr>
          <w:ilvl w:val="0"/>
          <w:numId w:val="14"/>
        </w:numPr>
        <w:rPr>
          <w:lang w:val="es-ES"/>
        </w:rPr>
      </w:pPr>
      <w:r w:rsidRPr="008D7F27">
        <w:rPr>
          <w:b/>
          <w:lang w:val="es-ES"/>
        </w:rPr>
        <w:t>Importancia o valor económico y macroeconómico (7):</w:t>
      </w:r>
      <w:r w:rsidRPr="008D7F27">
        <w:rPr>
          <w:lang w:val="es-ES"/>
        </w:rPr>
        <w:t xml:space="preserve"> </w:t>
      </w:r>
      <w:r w:rsidR="00922A68" w:rsidRPr="008D7F27">
        <w:rPr>
          <w:lang w:val="es-ES"/>
        </w:rPr>
        <w:t>r</w:t>
      </w:r>
      <w:r w:rsidRPr="008D7F27">
        <w:rPr>
          <w:lang w:val="es-ES"/>
        </w:rPr>
        <w:t xml:space="preserve">eúne las referencias asociadas a la importancia económica del mineral, su relevancia para la actividad económica, la seguridad económica y el valor que representa para la prosperidad del país. </w:t>
      </w:r>
    </w:p>
    <w:p w14:paraId="22CB0FC2" w14:textId="77777777" w:rsidR="00B10A32" w:rsidRPr="008D7F27" w:rsidRDefault="00B10A32">
      <w:pPr>
        <w:pStyle w:val="Prrafodelista"/>
        <w:numPr>
          <w:ilvl w:val="0"/>
          <w:numId w:val="14"/>
        </w:numPr>
        <w:rPr>
          <w:lang w:val="es-ES"/>
        </w:rPr>
      </w:pPr>
      <w:r w:rsidRPr="008D7F27">
        <w:rPr>
          <w:b/>
          <w:lang w:val="es-ES"/>
        </w:rPr>
        <w:t>Seguridad nacional, defensa y protección de intereses estratégicos (6):</w:t>
      </w:r>
      <w:r w:rsidRPr="008D7F27">
        <w:rPr>
          <w:lang w:val="es-ES"/>
        </w:rPr>
        <w:t xml:space="preserve"> </w:t>
      </w:r>
      <w:r w:rsidR="00922A68" w:rsidRPr="008D7F27">
        <w:rPr>
          <w:lang w:val="es-ES"/>
        </w:rPr>
        <w:t xml:space="preserve">agrupa </w:t>
      </w:r>
      <w:r w:rsidRPr="008D7F27">
        <w:rPr>
          <w:lang w:val="es-ES"/>
        </w:rPr>
        <w:t>las referencias expresas a seguridad nacional, defensa, aeroespacial y protección de intereses superiores del Estado.</w:t>
      </w:r>
    </w:p>
    <w:p w14:paraId="63283DBF" w14:textId="77777777" w:rsidR="00B10A32" w:rsidRPr="008D7F27" w:rsidRDefault="00B10A32">
      <w:pPr>
        <w:pStyle w:val="Prrafodelista"/>
        <w:numPr>
          <w:ilvl w:val="0"/>
          <w:numId w:val="14"/>
        </w:numPr>
        <w:rPr>
          <w:lang w:val="es-ES"/>
        </w:rPr>
      </w:pPr>
      <w:r w:rsidRPr="008D7F27">
        <w:rPr>
          <w:b/>
          <w:lang w:val="es-ES"/>
        </w:rPr>
        <w:t>Posicionamiento internacional o relevancia para socios y cadenas globales (</w:t>
      </w:r>
      <w:r w:rsidR="00106417" w:rsidRPr="008D7F27">
        <w:rPr>
          <w:b/>
          <w:lang w:val="es-ES"/>
        </w:rPr>
        <w:t>3</w:t>
      </w:r>
      <w:r w:rsidRPr="008D7F27">
        <w:rPr>
          <w:b/>
          <w:lang w:val="es-ES"/>
        </w:rPr>
        <w:t>):</w:t>
      </w:r>
      <w:r w:rsidRPr="008D7F27">
        <w:rPr>
          <w:lang w:val="es-ES"/>
        </w:rPr>
        <w:t xml:space="preserve"> </w:t>
      </w:r>
      <w:r w:rsidR="00922A68" w:rsidRPr="008D7F27">
        <w:rPr>
          <w:lang w:val="es-ES"/>
        </w:rPr>
        <w:t>c</w:t>
      </w:r>
      <w:r w:rsidRPr="008D7F27">
        <w:rPr>
          <w:lang w:val="es-ES"/>
        </w:rPr>
        <w:t xml:space="preserve">omprende las referencias al papel del país frente a socios internacionales, cadenas globales de suministro y posicionamiento estratégico externo. </w:t>
      </w:r>
    </w:p>
    <w:p w14:paraId="19D5B20A" w14:textId="77777777" w:rsidR="00106417" w:rsidRPr="008D7F27" w:rsidRDefault="00106417">
      <w:pPr>
        <w:pStyle w:val="Prrafodelista"/>
        <w:numPr>
          <w:ilvl w:val="0"/>
          <w:numId w:val="14"/>
        </w:numPr>
        <w:rPr>
          <w:lang w:val="es-ES"/>
        </w:rPr>
      </w:pPr>
      <w:r w:rsidRPr="008D7F27">
        <w:rPr>
          <w:b/>
          <w:lang w:val="es-ES"/>
        </w:rPr>
        <w:t>Suministro robusto o no suficientemente vulnerable para ser crítico (2):</w:t>
      </w:r>
      <w:r w:rsidRPr="008D7F27">
        <w:rPr>
          <w:lang w:val="es-ES"/>
        </w:rPr>
        <w:t xml:space="preserve"> </w:t>
      </w:r>
      <w:r w:rsidR="00922A68" w:rsidRPr="008D7F27">
        <w:rPr>
          <w:lang w:val="es-ES"/>
        </w:rPr>
        <w:t>a</w:t>
      </w:r>
      <w:r w:rsidRPr="008D7F27">
        <w:rPr>
          <w:lang w:val="es-ES"/>
        </w:rPr>
        <w:t xml:space="preserve">grupa minerales cuyas cadenas de suministro no resultan, en el momento de la evaluación, suficientemente vulnerables como para cumplir los criterios técnicos de criticidad, expresión propia de las definiciones estratégicas de Australia y Reino Unido. </w:t>
      </w:r>
    </w:p>
    <w:p w14:paraId="361BE175" w14:textId="77777777" w:rsidR="00B10A32" w:rsidRPr="008D7F27" w:rsidRDefault="00B10A32">
      <w:pPr>
        <w:pStyle w:val="Prrafodelista"/>
        <w:numPr>
          <w:ilvl w:val="0"/>
          <w:numId w:val="14"/>
        </w:numPr>
        <w:rPr>
          <w:lang w:val="es-ES"/>
        </w:rPr>
      </w:pPr>
      <w:r w:rsidRPr="008D7F27">
        <w:rPr>
          <w:b/>
          <w:lang w:val="es-ES"/>
        </w:rPr>
        <w:t>Producción o potencial doméstico (2):</w:t>
      </w:r>
      <w:r w:rsidRPr="008D7F27">
        <w:rPr>
          <w:lang w:val="es-ES"/>
        </w:rPr>
        <w:t xml:space="preserve"> </w:t>
      </w:r>
      <w:r w:rsidR="00922A68" w:rsidRPr="008D7F27">
        <w:rPr>
          <w:lang w:val="es-ES"/>
        </w:rPr>
        <w:t>r</w:t>
      </w:r>
      <w:r w:rsidRPr="008D7F27">
        <w:rPr>
          <w:lang w:val="es-ES"/>
        </w:rPr>
        <w:t xml:space="preserve">efiere a la posibilidad de producir el mineral en el territorio nacional o al potencial geológico disponible. </w:t>
      </w:r>
    </w:p>
    <w:p w14:paraId="66A50557" w14:textId="77777777" w:rsidR="00B10A32" w:rsidRPr="008D7F27" w:rsidRDefault="00B10A32">
      <w:pPr>
        <w:pStyle w:val="Prrafodelista"/>
        <w:numPr>
          <w:ilvl w:val="0"/>
          <w:numId w:val="14"/>
        </w:numPr>
        <w:rPr>
          <w:lang w:val="es-ES"/>
        </w:rPr>
      </w:pPr>
      <w:r w:rsidRPr="008D7F27">
        <w:rPr>
          <w:b/>
          <w:lang w:val="es-ES"/>
        </w:rPr>
        <w:t>Demanda futura y crecimiento proyectado (1):</w:t>
      </w:r>
      <w:r w:rsidRPr="008D7F27">
        <w:rPr>
          <w:lang w:val="es-ES"/>
        </w:rPr>
        <w:t xml:space="preserve"> </w:t>
      </w:r>
      <w:r w:rsidR="00922A68" w:rsidRPr="008D7F27">
        <w:rPr>
          <w:lang w:val="es-ES"/>
        </w:rPr>
        <w:t>h</w:t>
      </w:r>
      <w:r w:rsidRPr="008D7F27">
        <w:rPr>
          <w:lang w:val="es-ES"/>
        </w:rPr>
        <w:t xml:space="preserve">ace referencia a materiales cuya demanda se proyecta con fuerte crecimiento en el mediano plazo. </w:t>
      </w:r>
    </w:p>
    <w:p w14:paraId="63CAD184" w14:textId="77777777" w:rsidR="00B10A32" w:rsidRPr="008D7F27" w:rsidRDefault="00B10A32">
      <w:pPr>
        <w:pStyle w:val="Prrafodelista"/>
        <w:numPr>
          <w:ilvl w:val="0"/>
          <w:numId w:val="14"/>
        </w:numPr>
        <w:rPr>
          <w:lang w:val="es-ES"/>
        </w:rPr>
      </w:pPr>
      <w:r w:rsidRPr="008D7F27">
        <w:rPr>
          <w:b/>
          <w:lang w:val="es-ES"/>
        </w:rPr>
        <w:t>Ausencia de sustitución fácil (1):</w:t>
      </w:r>
      <w:r w:rsidRPr="008D7F27">
        <w:rPr>
          <w:lang w:val="es-ES"/>
        </w:rPr>
        <w:t xml:space="preserve"> </w:t>
      </w:r>
      <w:r w:rsidR="00922A68" w:rsidRPr="008D7F27">
        <w:rPr>
          <w:lang w:val="es-ES"/>
        </w:rPr>
        <w:t>c</w:t>
      </w:r>
      <w:r w:rsidRPr="008D7F27">
        <w:rPr>
          <w:lang w:val="es-ES"/>
        </w:rPr>
        <w:t xml:space="preserve">orresponde a minerales cuya esencialidad se asocia a la dificultad de ser reemplazados. </w:t>
      </w:r>
    </w:p>
    <w:p w14:paraId="76D498E8" w14:textId="77777777" w:rsidR="009B4113" w:rsidRPr="008D7F27" w:rsidRDefault="00922A68" w:rsidP="009B4113">
      <w:pPr>
        <w:rPr>
          <w:lang w:val="es-ES"/>
        </w:rPr>
      </w:pPr>
      <w:r w:rsidRPr="008D7F27">
        <w:rPr>
          <w:lang w:val="es-ES"/>
        </w:rPr>
        <w:t>En la lista se observa que, los elementos más cercanos a la noción de criticidad son aquellos vinculados con la vulnerabilidad del suministro, la afectación económica derivada de una eventual interrupción</w:t>
      </w:r>
      <w:r w:rsidR="00687855" w:rsidRPr="008D7F27">
        <w:rPr>
          <w:lang w:val="es-ES"/>
        </w:rPr>
        <w:t xml:space="preserve"> y</w:t>
      </w:r>
      <w:r w:rsidRPr="008D7F27">
        <w:rPr>
          <w:lang w:val="es-ES"/>
        </w:rPr>
        <w:t xml:space="preserve"> la ausencia de sustitutos. En este grupo de países, la criticidad aparece fuertemente asociada a la </w:t>
      </w:r>
      <w:r w:rsidR="009B4113" w:rsidRPr="008D7F27">
        <w:rPr>
          <w:lang w:val="es-ES"/>
        </w:rPr>
        <w:t>capacidad de adaptación de la</w:t>
      </w:r>
      <w:r w:rsidR="00687855" w:rsidRPr="008D7F27">
        <w:rPr>
          <w:lang w:val="es-ES"/>
        </w:rPr>
        <w:t>s</w:t>
      </w:r>
      <w:r w:rsidR="009B4113" w:rsidRPr="008D7F27">
        <w:rPr>
          <w:lang w:val="es-ES"/>
        </w:rPr>
        <w:t xml:space="preserve"> cadenas de suministro globales frágiles, concentradas o expuestas a cambios tecnológicos y/o geopolíticos. </w:t>
      </w:r>
    </w:p>
    <w:p w14:paraId="54FAE1F5" w14:textId="77777777" w:rsidR="00922A68" w:rsidRPr="008D7F27" w:rsidRDefault="00922A68" w:rsidP="00922A68">
      <w:pPr>
        <w:rPr>
          <w:lang w:val="es-ES"/>
        </w:rPr>
      </w:pPr>
      <w:r w:rsidRPr="008D7F27">
        <w:rPr>
          <w:lang w:val="es-ES"/>
        </w:rPr>
        <w:t xml:space="preserve">De otra parte, los elementos que se acercan más a la noción de lo estratégico son aquellos relacionados con la función </w:t>
      </w:r>
      <w:r w:rsidR="009B4113" w:rsidRPr="008D7F27">
        <w:rPr>
          <w:lang w:val="es-ES"/>
        </w:rPr>
        <w:t>tecnológica e industrial del mineral, su papel en la transición ecológica y digital, su utilidad para la defensa o el mercado interior, la demanda futura y el potencial de posicionamiento del país frente a socios y cadenas globales</w:t>
      </w:r>
      <w:r w:rsidRPr="008D7F27">
        <w:rPr>
          <w:lang w:val="es-ES"/>
        </w:rPr>
        <w:t>. Al considerar dichos elementos, los minerales no se determinan principalmente por el riesgo que genera su escasez, sino por el valor que representa para</w:t>
      </w:r>
      <w:r w:rsidR="009B4113" w:rsidRPr="008D7F27">
        <w:rPr>
          <w:lang w:val="es-ES"/>
        </w:rPr>
        <w:t xml:space="preserve"> sostener y/o transformar la base productiva del país</w:t>
      </w:r>
      <w:r w:rsidRPr="008D7F27">
        <w:rPr>
          <w:lang w:val="es-ES"/>
        </w:rPr>
        <w:t>.</w:t>
      </w:r>
    </w:p>
    <w:p w14:paraId="37BB6093" w14:textId="77777777" w:rsidR="005620D6" w:rsidRPr="008D7F27" w:rsidRDefault="005620D6" w:rsidP="005620D6">
      <w:pPr>
        <w:rPr>
          <w:lang w:val="es-ES"/>
        </w:rPr>
      </w:pPr>
      <w:r w:rsidRPr="008D7F27">
        <w:rPr>
          <w:lang w:val="es-ES"/>
        </w:rPr>
        <w:lastRenderedPageBreak/>
        <w:t xml:space="preserve">Además, el ejercicio comparado muestra </w:t>
      </w:r>
      <w:r w:rsidR="00AE6692" w:rsidRPr="008D7F27">
        <w:rPr>
          <w:lang w:val="es-ES"/>
        </w:rPr>
        <w:t>que,</w:t>
      </w:r>
      <w:r w:rsidRPr="008D7F27">
        <w:rPr>
          <w:lang w:val="es-ES"/>
        </w:rPr>
        <w:t xml:space="preserve"> entre los conceptos de criticidad y estratégico, existe una zona de intersección clara, compuesta principalmente por los siguientes elementos:</w:t>
      </w:r>
    </w:p>
    <w:p w14:paraId="2A74C8D0" w14:textId="77777777" w:rsidR="005620D6" w:rsidRPr="008D7F27" w:rsidRDefault="005620D6">
      <w:pPr>
        <w:pStyle w:val="Prrafodelista"/>
        <w:numPr>
          <w:ilvl w:val="0"/>
          <w:numId w:val="18"/>
        </w:numPr>
        <w:rPr>
          <w:lang w:val="es-ES"/>
        </w:rPr>
      </w:pPr>
      <w:r w:rsidRPr="008D7F27">
        <w:rPr>
          <w:lang w:val="es-ES"/>
        </w:rPr>
        <w:t>L</w:t>
      </w:r>
      <w:r w:rsidR="00B10A32" w:rsidRPr="008D7F27">
        <w:rPr>
          <w:lang w:val="es-ES"/>
        </w:rPr>
        <w:t>a importancia económica del mineral</w:t>
      </w:r>
    </w:p>
    <w:p w14:paraId="5D488C22" w14:textId="77777777" w:rsidR="000C4527" w:rsidRPr="008D7F27" w:rsidRDefault="005620D6">
      <w:pPr>
        <w:pStyle w:val="Prrafodelista"/>
        <w:numPr>
          <w:ilvl w:val="0"/>
          <w:numId w:val="18"/>
        </w:numPr>
        <w:rPr>
          <w:lang w:val="es-ES"/>
        </w:rPr>
      </w:pPr>
      <w:r w:rsidRPr="008D7F27">
        <w:rPr>
          <w:lang w:val="es-ES"/>
        </w:rPr>
        <w:t>S</w:t>
      </w:r>
      <w:r w:rsidR="00B10A32" w:rsidRPr="008D7F27">
        <w:rPr>
          <w:lang w:val="es-ES"/>
        </w:rPr>
        <w:t>u función para la base productiva, industrial o tecnológica</w:t>
      </w:r>
    </w:p>
    <w:p w14:paraId="4334D383" w14:textId="77777777" w:rsidR="00B10A32" w:rsidRPr="008D7F27" w:rsidRDefault="005620D6">
      <w:pPr>
        <w:pStyle w:val="Prrafodelista"/>
        <w:numPr>
          <w:ilvl w:val="0"/>
          <w:numId w:val="18"/>
        </w:numPr>
        <w:rPr>
          <w:lang w:val="es-ES"/>
        </w:rPr>
      </w:pPr>
      <w:r w:rsidRPr="008D7F27">
        <w:rPr>
          <w:lang w:val="es-ES"/>
        </w:rPr>
        <w:t>S</w:t>
      </w:r>
      <w:r w:rsidR="00B10A32" w:rsidRPr="008D7F27">
        <w:rPr>
          <w:lang w:val="es-ES"/>
        </w:rPr>
        <w:t>u eventual relación con la seguridad nacional.</w:t>
      </w:r>
    </w:p>
    <w:p w14:paraId="5CA3164A" w14:textId="77777777" w:rsidR="005620D6" w:rsidRPr="008D7F27" w:rsidRDefault="005620D6" w:rsidP="005620D6">
      <w:pPr>
        <w:rPr>
          <w:lang w:val="es-ES"/>
        </w:rPr>
      </w:pPr>
      <w:r w:rsidRPr="008D7F27">
        <w:rPr>
          <w:lang w:val="es-ES"/>
        </w:rPr>
        <w:t xml:space="preserve">En términos comparativos, dentro de los resultados del análisis realizado, se destaca </w:t>
      </w:r>
      <w:r w:rsidR="008D7F27" w:rsidRPr="008D7F27">
        <w:rPr>
          <w:lang w:val="es-ES"/>
        </w:rPr>
        <w:t>que las</w:t>
      </w:r>
      <w:r w:rsidRPr="008D7F27">
        <w:rPr>
          <w:lang w:val="es-ES"/>
        </w:rPr>
        <w:t xml:space="preserve"> economías de ingresos altos seleccionadas consideran dentro de los principales factores para la determinación de minerales críticos y/o estratégicos, la seguridad de suministro, la competencia tecnológica, la transición energética, la seguridad nacional y la reconfiguración de cadenas globales de valor</w:t>
      </w:r>
      <w:r w:rsidR="000C4527" w:rsidRPr="008D7F27">
        <w:rPr>
          <w:lang w:val="es-ES"/>
        </w:rPr>
        <w:t>.</w:t>
      </w:r>
    </w:p>
    <w:p w14:paraId="779AFC95" w14:textId="77777777" w:rsidR="005620D6" w:rsidRPr="008D7F27" w:rsidRDefault="005620D6" w:rsidP="005620D6">
      <w:pPr>
        <w:rPr>
          <w:lang w:val="es-ES"/>
        </w:rPr>
      </w:pPr>
      <w:r w:rsidRPr="008D7F27">
        <w:rPr>
          <w:lang w:val="es-ES"/>
        </w:rPr>
        <w:t xml:space="preserve">Esto orienta para Colombia, </w:t>
      </w:r>
      <w:r w:rsidR="000C4527" w:rsidRPr="008D7F27">
        <w:rPr>
          <w:lang w:val="es-ES"/>
        </w:rPr>
        <w:t xml:space="preserve">que </w:t>
      </w:r>
      <w:r w:rsidRPr="008D7F27">
        <w:rPr>
          <w:lang w:val="es-ES"/>
        </w:rPr>
        <w:t>la revisión y/o actualización de los lineamientos para la determinación de minerales estratégicos, además de considerar los minerales que pueden resultar ser estratégicos y/o críticos para el mundo desde la perspectiva de riesgo de suministro global o su uso en tecnologías limpias, se debe tener en cuenta aquellos que resulten relevantes para el país tanto por su vulnerabilidad de suministro</w:t>
      </w:r>
      <w:r w:rsidR="00827F49" w:rsidRPr="008D7F27">
        <w:rPr>
          <w:lang w:val="es-ES"/>
        </w:rPr>
        <w:t xml:space="preserve"> a nivel local,</w:t>
      </w:r>
      <w:r w:rsidRPr="008D7F27">
        <w:rPr>
          <w:lang w:val="es-ES"/>
        </w:rPr>
        <w:t xml:space="preserve"> como por su capacidad de apalancar desarrollo productivo, inserción en cadenas de valor, transformación industrial y objetivos estratégicos nacionales</w:t>
      </w:r>
      <w:r w:rsidR="000C4527" w:rsidRPr="008D7F27">
        <w:rPr>
          <w:lang w:val="es-ES"/>
        </w:rPr>
        <w:t xml:space="preserve"> de política pública antes mencionados</w:t>
      </w:r>
      <w:r w:rsidRPr="008D7F27">
        <w:rPr>
          <w:lang w:val="es-ES"/>
        </w:rPr>
        <w:t>.</w:t>
      </w:r>
    </w:p>
    <w:p w14:paraId="0FD8C8F5" w14:textId="77777777" w:rsidR="005620D6" w:rsidRPr="008D7F27" w:rsidRDefault="005620D6" w:rsidP="005620D6">
      <w:pPr>
        <w:rPr>
          <w:lang w:val="es-ES"/>
        </w:rPr>
      </w:pPr>
      <w:r w:rsidRPr="008D7F27">
        <w:rPr>
          <w:lang w:val="es-ES"/>
        </w:rPr>
        <w:t xml:space="preserve">Acorde con lo anterior, la principal conclusión </w:t>
      </w:r>
      <w:r w:rsidR="008D7F27" w:rsidRPr="008D7F27">
        <w:rPr>
          <w:lang w:val="es-ES"/>
        </w:rPr>
        <w:t>del análisis</w:t>
      </w:r>
      <w:r w:rsidRPr="008D7F27">
        <w:rPr>
          <w:lang w:val="es-ES"/>
        </w:rPr>
        <w:t xml:space="preserve"> realizado a partir de información disponible de los países seleccionados que corresponden a economías de ingresos </w:t>
      </w:r>
      <w:r w:rsidR="00827F49" w:rsidRPr="008D7F27">
        <w:rPr>
          <w:lang w:val="es-ES"/>
        </w:rPr>
        <w:t>altos</w:t>
      </w:r>
      <w:r w:rsidRPr="008D7F27">
        <w:rPr>
          <w:lang w:val="es-ES"/>
        </w:rPr>
        <w:t xml:space="preserve">, corresponde a la identificación de factores comunes para la determinación tanto de minerales críticos como de estratégicos, los cuales corresponden a: </w:t>
      </w:r>
    </w:p>
    <w:p w14:paraId="0AA216FB" w14:textId="77777777" w:rsidR="00B10A32" w:rsidRPr="008D7F27" w:rsidRDefault="00827F49">
      <w:pPr>
        <w:pStyle w:val="Prrafodelista"/>
        <w:numPr>
          <w:ilvl w:val="0"/>
          <w:numId w:val="16"/>
        </w:numPr>
        <w:rPr>
          <w:lang w:val="es-ES"/>
        </w:rPr>
      </w:pPr>
      <w:r w:rsidRPr="008D7F27">
        <w:rPr>
          <w:lang w:val="es-ES"/>
        </w:rPr>
        <w:t>A</w:t>
      </w:r>
      <w:r w:rsidR="00B10A32" w:rsidRPr="008D7F27">
        <w:rPr>
          <w:lang w:val="es-ES"/>
        </w:rPr>
        <w:t>segurar abastecimiento</w:t>
      </w:r>
      <w:r w:rsidRPr="008D7F27">
        <w:rPr>
          <w:lang w:val="es-ES"/>
        </w:rPr>
        <w:t>.</w:t>
      </w:r>
      <w:r w:rsidR="00B10A32" w:rsidRPr="008D7F27">
        <w:rPr>
          <w:lang w:val="es-ES"/>
        </w:rPr>
        <w:t xml:space="preserve"> </w:t>
      </w:r>
    </w:p>
    <w:p w14:paraId="0758429A" w14:textId="77777777" w:rsidR="00B10A32" w:rsidRPr="008D7F27" w:rsidRDefault="00827F49">
      <w:pPr>
        <w:pStyle w:val="Prrafodelista"/>
        <w:numPr>
          <w:ilvl w:val="0"/>
          <w:numId w:val="16"/>
        </w:numPr>
        <w:rPr>
          <w:lang w:val="es-ES"/>
        </w:rPr>
      </w:pPr>
      <w:r w:rsidRPr="008D7F27">
        <w:rPr>
          <w:lang w:val="es-ES"/>
        </w:rPr>
        <w:t>R</w:t>
      </w:r>
      <w:r w:rsidR="00B10A32" w:rsidRPr="008D7F27">
        <w:rPr>
          <w:lang w:val="es-ES"/>
        </w:rPr>
        <w:t>educir vulnerabilidades externas</w:t>
      </w:r>
      <w:r w:rsidRPr="008D7F27">
        <w:rPr>
          <w:lang w:val="es-ES"/>
        </w:rPr>
        <w:t>.</w:t>
      </w:r>
      <w:r w:rsidR="00B10A32" w:rsidRPr="008D7F27">
        <w:rPr>
          <w:lang w:val="es-ES"/>
        </w:rPr>
        <w:t xml:space="preserve"> </w:t>
      </w:r>
    </w:p>
    <w:p w14:paraId="5FFFAFE3" w14:textId="77777777" w:rsidR="00B10A32" w:rsidRPr="008D7F27" w:rsidRDefault="00827F49">
      <w:pPr>
        <w:pStyle w:val="Prrafodelista"/>
        <w:numPr>
          <w:ilvl w:val="0"/>
          <w:numId w:val="16"/>
        </w:numPr>
        <w:rPr>
          <w:lang w:val="es-ES"/>
        </w:rPr>
      </w:pPr>
      <w:r w:rsidRPr="008D7F27">
        <w:rPr>
          <w:lang w:val="es-ES"/>
        </w:rPr>
        <w:t xml:space="preserve">Sostener </w:t>
      </w:r>
      <w:r w:rsidR="00B10A32" w:rsidRPr="008D7F27">
        <w:rPr>
          <w:lang w:val="es-ES"/>
        </w:rPr>
        <w:t>y transformar la base productiva, industrial y tecnológica</w:t>
      </w:r>
      <w:r w:rsidRPr="008D7F27">
        <w:rPr>
          <w:lang w:val="es-ES"/>
        </w:rPr>
        <w:t>.</w:t>
      </w:r>
      <w:r w:rsidR="00B10A32" w:rsidRPr="008D7F27">
        <w:rPr>
          <w:lang w:val="es-ES"/>
        </w:rPr>
        <w:t xml:space="preserve"> </w:t>
      </w:r>
    </w:p>
    <w:p w14:paraId="6F0B7C2A" w14:textId="77777777" w:rsidR="00B10A32" w:rsidRPr="008D7F27" w:rsidRDefault="00827F49">
      <w:pPr>
        <w:pStyle w:val="Prrafodelista"/>
        <w:numPr>
          <w:ilvl w:val="0"/>
          <w:numId w:val="16"/>
        </w:numPr>
        <w:rPr>
          <w:lang w:val="es-ES"/>
        </w:rPr>
      </w:pPr>
      <w:r w:rsidRPr="008D7F27">
        <w:rPr>
          <w:lang w:val="es-ES"/>
        </w:rPr>
        <w:t>P</w:t>
      </w:r>
      <w:r w:rsidR="00B10A32" w:rsidRPr="008D7F27">
        <w:rPr>
          <w:lang w:val="es-ES"/>
        </w:rPr>
        <w:t>roteger intereses de seguridad y defensa</w:t>
      </w:r>
      <w:r w:rsidRPr="008D7F27">
        <w:rPr>
          <w:lang w:val="es-ES"/>
        </w:rPr>
        <w:t>.</w:t>
      </w:r>
      <w:r w:rsidR="00B10A32" w:rsidRPr="008D7F27">
        <w:rPr>
          <w:lang w:val="es-ES"/>
        </w:rPr>
        <w:t xml:space="preserve"> </w:t>
      </w:r>
    </w:p>
    <w:p w14:paraId="26A75C42" w14:textId="77777777" w:rsidR="005C6AF9" w:rsidRPr="008D7F27" w:rsidRDefault="00827F49">
      <w:pPr>
        <w:pStyle w:val="Prrafodelista"/>
        <w:numPr>
          <w:ilvl w:val="0"/>
          <w:numId w:val="16"/>
        </w:numPr>
        <w:rPr>
          <w:lang w:val="es-ES"/>
        </w:rPr>
      </w:pPr>
      <w:r w:rsidRPr="008D7F27">
        <w:rPr>
          <w:lang w:val="es-ES"/>
        </w:rPr>
        <w:t>A</w:t>
      </w:r>
      <w:r w:rsidR="00B10A32" w:rsidRPr="008D7F27">
        <w:rPr>
          <w:lang w:val="es-ES"/>
        </w:rPr>
        <w:t>nticipar demandas futuras y posicionamientos estrat</w:t>
      </w:r>
      <w:r w:rsidR="00204B22" w:rsidRPr="008D7F27">
        <w:rPr>
          <w:lang w:val="es-ES"/>
        </w:rPr>
        <w:t>égicos.</w:t>
      </w:r>
    </w:p>
    <w:p w14:paraId="7D8B1355" w14:textId="77777777" w:rsidR="003056EE" w:rsidRPr="008D7F27" w:rsidRDefault="4ACA5418" w:rsidP="00907C68">
      <w:pPr>
        <w:pStyle w:val="Ttulo2"/>
        <w:rPr>
          <w:lang w:val="es-ES"/>
        </w:rPr>
      </w:pPr>
      <w:bookmarkStart w:id="33" w:name="_Toc229145826"/>
      <w:bookmarkStart w:id="34" w:name="_Toc413088787"/>
      <w:r w:rsidRPr="16F44784">
        <w:rPr>
          <w:lang w:val="es-ES"/>
        </w:rPr>
        <w:t>R</w:t>
      </w:r>
      <w:r w:rsidR="52893FC0" w:rsidRPr="16F44784">
        <w:rPr>
          <w:lang w:val="es-ES"/>
        </w:rPr>
        <w:t>esultado</w:t>
      </w:r>
      <w:r w:rsidR="2BD2EFC1" w:rsidRPr="16F44784">
        <w:rPr>
          <w:lang w:val="es-ES"/>
        </w:rPr>
        <w:t>s del análisis comparativo del contexto</w:t>
      </w:r>
      <w:r w:rsidRPr="16F44784">
        <w:rPr>
          <w:lang w:val="es-ES"/>
        </w:rPr>
        <w:t xml:space="preserve"> internacional</w:t>
      </w:r>
      <w:bookmarkEnd w:id="33"/>
      <w:bookmarkEnd w:id="34"/>
    </w:p>
    <w:p w14:paraId="5B71AF65" w14:textId="77777777" w:rsidR="000C4527" w:rsidRPr="008D7F27" w:rsidRDefault="007428AA" w:rsidP="00537988">
      <w:pPr>
        <w:rPr>
          <w:lang w:val="es-ES"/>
        </w:rPr>
      </w:pPr>
      <w:r w:rsidRPr="008D7F27">
        <w:rPr>
          <w:lang w:val="es-ES"/>
        </w:rPr>
        <w:t>E</w:t>
      </w:r>
      <w:r w:rsidR="0C1BDFA4" w:rsidRPr="008D7F27">
        <w:rPr>
          <w:lang w:val="es-ES"/>
        </w:rPr>
        <w:t>n los resultados del análisis comparativo internacional, se observa que, tanto en las economías de ingresos medios como en las economías de ingresos altos, los conceptos de minerales críticos y/o estratégicos se construyen alrededor de un conjunto de pr</w:t>
      </w:r>
      <w:r w:rsidR="46B22374" w:rsidRPr="008D7F27">
        <w:rPr>
          <w:lang w:val="es-ES"/>
        </w:rPr>
        <w:t xml:space="preserve">ioridades </w:t>
      </w:r>
      <w:r w:rsidR="0C1BDFA4" w:rsidRPr="008D7F27">
        <w:rPr>
          <w:lang w:val="es-ES"/>
        </w:rPr>
        <w:t>estatales: asegurar abastecimiento, reducir vulnerabilidades externas, evitar afectaciones económicas, fortalecer la base productiva, industrial y tecnológica, proteger intereses de seguridad y aprovechar o consolidar ventajas nacionales derivadas de</w:t>
      </w:r>
      <w:r w:rsidR="781593D7" w:rsidRPr="008D7F27">
        <w:rPr>
          <w:lang w:val="es-ES"/>
        </w:rPr>
        <w:t xml:space="preserve"> </w:t>
      </w:r>
      <w:r w:rsidR="0C1BDFA4" w:rsidRPr="008D7F27">
        <w:rPr>
          <w:lang w:val="es-ES"/>
        </w:rPr>
        <w:t>l</w:t>
      </w:r>
      <w:r w:rsidR="3F04CEBC" w:rsidRPr="008D7F27">
        <w:rPr>
          <w:lang w:val="es-ES"/>
        </w:rPr>
        <w:t>os</w:t>
      </w:r>
      <w:r w:rsidR="0C1BDFA4" w:rsidRPr="008D7F27">
        <w:rPr>
          <w:lang w:val="es-ES"/>
        </w:rPr>
        <w:t xml:space="preserve"> recurso</w:t>
      </w:r>
      <w:r w:rsidR="696CAC8F" w:rsidRPr="008D7F27">
        <w:rPr>
          <w:lang w:val="es-ES"/>
        </w:rPr>
        <w:t>s minerales</w:t>
      </w:r>
      <w:r w:rsidR="0C1BDFA4" w:rsidRPr="008D7F27">
        <w:rPr>
          <w:lang w:val="es-ES"/>
        </w:rPr>
        <w:t xml:space="preserve">. </w:t>
      </w:r>
    </w:p>
    <w:p w14:paraId="336297C6" w14:textId="77777777" w:rsidR="003056EE" w:rsidRPr="008D7F27" w:rsidRDefault="00FC3CFB" w:rsidP="00537988">
      <w:pPr>
        <w:rPr>
          <w:lang w:val="es-ES"/>
        </w:rPr>
      </w:pPr>
      <w:r w:rsidRPr="008D7F27">
        <w:rPr>
          <w:lang w:val="es-ES"/>
        </w:rPr>
        <w:lastRenderedPageBreak/>
        <w:t xml:space="preserve">A pesar de que las prioridades cambian según las necesidades de cada </w:t>
      </w:r>
      <w:r w:rsidR="007428AA" w:rsidRPr="008D7F27">
        <w:rPr>
          <w:lang w:val="es-ES"/>
        </w:rPr>
        <w:t>país</w:t>
      </w:r>
      <w:r w:rsidRPr="008D7F27">
        <w:rPr>
          <w:lang w:val="es-ES"/>
        </w:rPr>
        <w:t>,</w:t>
      </w:r>
      <w:r w:rsidR="0C1BDFA4" w:rsidRPr="008D7F27">
        <w:rPr>
          <w:lang w:val="es-ES"/>
        </w:rPr>
        <w:t xml:space="preserve"> el panorama comparado permite </w:t>
      </w:r>
      <w:r w:rsidRPr="008D7F27">
        <w:rPr>
          <w:lang w:val="es-ES"/>
        </w:rPr>
        <w:t xml:space="preserve">evidenciar </w:t>
      </w:r>
      <w:r w:rsidR="0C1BDFA4" w:rsidRPr="008D7F27">
        <w:rPr>
          <w:lang w:val="es-ES"/>
        </w:rPr>
        <w:t xml:space="preserve">que la determinación de minerales </w:t>
      </w:r>
      <w:r w:rsidR="007428AA" w:rsidRPr="008D7F27">
        <w:rPr>
          <w:lang w:val="es-ES"/>
        </w:rPr>
        <w:t>críticos</w:t>
      </w:r>
      <w:r w:rsidRPr="008D7F27">
        <w:rPr>
          <w:lang w:val="es-ES"/>
        </w:rPr>
        <w:t xml:space="preserve"> y/o </w:t>
      </w:r>
      <w:r w:rsidR="0C1BDFA4" w:rsidRPr="008D7F27">
        <w:rPr>
          <w:lang w:val="es-ES"/>
        </w:rPr>
        <w:t xml:space="preserve">estratégicos no </w:t>
      </w:r>
      <w:r w:rsidRPr="008D7F27">
        <w:rPr>
          <w:lang w:val="es-ES"/>
        </w:rPr>
        <w:t xml:space="preserve">se basa en la consideración de </w:t>
      </w:r>
      <w:r w:rsidR="0C1BDFA4" w:rsidRPr="008D7F27">
        <w:rPr>
          <w:lang w:val="es-ES"/>
        </w:rPr>
        <w:t xml:space="preserve">un único criterio, sino en la combinación de </w:t>
      </w:r>
      <w:r w:rsidRPr="008D7F27">
        <w:rPr>
          <w:lang w:val="es-ES"/>
        </w:rPr>
        <w:t xml:space="preserve">diferentes criterios relacionados principalmente con recursos minerales presentes en el </w:t>
      </w:r>
      <w:r w:rsidR="7A7FAEA5" w:rsidRPr="008D7F27">
        <w:rPr>
          <w:lang w:val="es-ES"/>
        </w:rPr>
        <w:t>subsuelo</w:t>
      </w:r>
      <w:r w:rsidRPr="008D7F27">
        <w:rPr>
          <w:lang w:val="es-ES"/>
        </w:rPr>
        <w:t xml:space="preserve"> de cada </w:t>
      </w:r>
      <w:r w:rsidR="0003640B" w:rsidRPr="008D7F27">
        <w:rPr>
          <w:lang w:val="es-ES"/>
        </w:rPr>
        <w:t>país</w:t>
      </w:r>
      <w:r w:rsidR="4C25702A" w:rsidRPr="008D7F27">
        <w:rPr>
          <w:lang w:val="es-ES"/>
        </w:rPr>
        <w:t xml:space="preserve">, </w:t>
      </w:r>
      <w:r w:rsidR="0C1BDFA4" w:rsidRPr="008D7F27">
        <w:rPr>
          <w:lang w:val="es-ES"/>
        </w:rPr>
        <w:t>abastecimiento, economía, industria, seguridad</w:t>
      </w:r>
      <w:r w:rsidR="5C9AA2AD" w:rsidRPr="008D7F27">
        <w:rPr>
          <w:lang w:val="es-ES"/>
        </w:rPr>
        <w:t xml:space="preserve"> </w:t>
      </w:r>
      <w:r w:rsidR="0EF9865E" w:rsidRPr="008D7F27">
        <w:rPr>
          <w:lang w:val="es-ES"/>
        </w:rPr>
        <w:t xml:space="preserve">nacional </w:t>
      </w:r>
      <w:r w:rsidR="5C9AA2AD" w:rsidRPr="008D7F27">
        <w:rPr>
          <w:lang w:val="es-ES"/>
        </w:rPr>
        <w:t>y</w:t>
      </w:r>
      <w:r w:rsidR="0C1BDFA4" w:rsidRPr="008D7F27">
        <w:rPr>
          <w:lang w:val="es-ES"/>
        </w:rPr>
        <w:t xml:space="preserve"> posicionamiento </w:t>
      </w:r>
      <w:r w:rsidR="0E81E37C" w:rsidRPr="008D7F27">
        <w:rPr>
          <w:lang w:val="es-ES"/>
        </w:rPr>
        <w:t>en las cadenas globales de suministro</w:t>
      </w:r>
      <w:r w:rsidR="0C1BDFA4" w:rsidRPr="008D7F27">
        <w:rPr>
          <w:lang w:val="es-ES"/>
        </w:rPr>
        <w:t>.</w:t>
      </w:r>
    </w:p>
    <w:p w14:paraId="686557DA" w14:textId="77777777" w:rsidR="003056EE" w:rsidRPr="008D7F27" w:rsidRDefault="000C4527" w:rsidP="00537988">
      <w:pPr>
        <w:rPr>
          <w:lang w:val="es-ES"/>
        </w:rPr>
      </w:pPr>
      <w:r w:rsidRPr="008D7F27">
        <w:rPr>
          <w:lang w:val="es-ES"/>
        </w:rPr>
        <w:t>E</w:t>
      </w:r>
      <w:r w:rsidR="0C1BDFA4" w:rsidRPr="008D7F27">
        <w:rPr>
          <w:lang w:val="es-ES"/>
        </w:rPr>
        <w:t>l análisis internacional</w:t>
      </w:r>
      <w:r w:rsidR="6407905B" w:rsidRPr="008D7F27">
        <w:rPr>
          <w:lang w:val="es-ES"/>
        </w:rPr>
        <w:t xml:space="preserve"> realizado</w:t>
      </w:r>
      <w:r w:rsidR="007428AA" w:rsidRPr="008D7F27">
        <w:rPr>
          <w:lang w:val="es-ES"/>
        </w:rPr>
        <w:t xml:space="preserve">, </w:t>
      </w:r>
      <w:r w:rsidRPr="008D7F27">
        <w:rPr>
          <w:lang w:val="es-ES"/>
        </w:rPr>
        <w:t>permite proponer</w:t>
      </w:r>
      <w:r w:rsidR="007428AA" w:rsidRPr="008D7F27">
        <w:rPr>
          <w:lang w:val="es-ES"/>
        </w:rPr>
        <w:t xml:space="preserve"> las </w:t>
      </w:r>
      <w:r w:rsidRPr="008D7F27">
        <w:rPr>
          <w:lang w:val="es-ES"/>
        </w:rPr>
        <w:t xml:space="preserve">siguientes </w:t>
      </w:r>
      <w:r w:rsidR="007428AA" w:rsidRPr="008D7F27">
        <w:rPr>
          <w:lang w:val="es-ES"/>
        </w:rPr>
        <w:t>variables para la actualización de los lineamientos para la determinación de minerales estratégicos para Colombia, las cuales corresponden al</w:t>
      </w:r>
      <w:r w:rsidR="0C1BDFA4" w:rsidRPr="008D7F27">
        <w:rPr>
          <w:lang w:val="es-ES"/>
        </w:rPr>
        <w:t xml:space="preserve"> marco de referencia inicial para </w:t>
      </w:r>
      <w:r w:rsidR="007428AA" w:rsidRPr="008D7F27">
        <w:rPr>
          <w:lang w:val="es-ES"/>
        </w:rPr>
        <w:t xml:space="preserve">realizar la revisión </w:t>
      </w:r>
      <w:r w:rsidR="0C1BDFA4" w:rsidRPr="008D7F27">
        <w:rPr>
          <w:lang w:val="es-ES"/>
        </w:rPr>
        <w:t>y eventualmente reformular los lineamientos</w:t>
      </w:r>
      <w:r w:rsidR="007428AA" w:rsidRPr="008D7F27">
        <w:rPr>
          <w:lang w:val="es-ES"/>
        </w:rPr>
        <w:t>.</w:t>
      </w:r>
    </w:p>
    <w:p w14:paraId="12E826A2" w14:textId="77777777" w:rsidR="00260E34" w:rsidRPr="008D7F27" w:rsidRDefault="5395DB15" w:rsidP="04B0DA99">
      <w:pPr>
        <w:pStyle w:val="Ttulo3"/>
        <w:rPr>
          <w:lang w:val="es-ES"/>
        </w:rPr>
      </w:pPr>
      <w:bookmarkStart w:id="35" w:name="_Toc229145827"/>
      <w:bookmarkStart w:id="36" w:name="_Toc1079133225"/>
      <w:r w:rsidRPr="16F44784">
        <w:rPr>
          <w:lang w:val="es-ES"/>
        </w:rPr>
        <w:t>Cons</w:t>
      </w:r>
      <w:r w:rsidR="6FC33243" w:rsidRPr="16F44784">
        <w:rPr>
          <w:lang w:val="es-ES"/>
        </w:rPr>
        <w:t>i</w:t>
      </w:r>
      <w:r w:rsidRPr="16F44784">
        <w:rPr>
          <w:lang w:val="es-ES"/>
        </w:rPr>
        <w:t xml:space="preserve">deraciones del </w:t>
      </w:r>
      <w:r w:rsidR="277CBE27" w:rsidRPr="16F44784">
        <w:rPr>
          <w:lang w:val="es-ES"/>
        </w:rPr>
        <w:t>enfoque</w:t>
      </w:r>
      <w:r w:rsidR="6FABD73D" w:rsidRPr="16F44784">
        <w:rPr>
          <w:lang w:val="es-ES"/>
        </w:rPr>
        <w:t xml:space="preserve"> internacional para la </w:t>
      </w:r>
      <w:r w:rsidR="6DFDBA38" w:rsidRPr="16F44784">
        <w:rPr>
          <w:lang w:val="es-ES"/>
        </w:rPr>
        <w:t>actualización de lineamientos</w:t>
      </w:r>
      <w:r w:rsidR="4B45295C" w:rsidRPr="16F44784">
        <w:rPr>
          <w:lang w:val="es-ES"/>
        </w:rPr>
        <w:t xml:space="preserve"> en Colombia</w:t>
      </w:r>
      <w:bookmarkEnd w:id="35"/>
      <w:bookmarkEnd w:id="36"/>
    </w:p>
    <w:p w14:paraId="6F1EBF8F" w14:textId="77777777" w:rsidR="000C4527" w:rsidRPr="008D7F27" w:rsidRDefault="000C4527" w:rsidP="00537988">
      <w:pPr>
        <w:rPr>
          <w:lang w:val="es-ES"/>
        </w:rPr>
      </w:pPr>
      <w:r w:rsidRPr="008D7F27">
        <w:rPr>
          <w:lang w:val="es-ES"/>
        </w:rPr>
        <w:t>S</w:t>
      </w:r>
      <w:r w:rsidR="007428AA" w:rsidRPr="008D7F27">
        <w:rPr>
          <w:lang w:val="es-ES"/>
        </w:rPr>
        <w:t xml:space="preserve">e identifica que </w:t>
      </w:r>
      <w:r w:rsidR="521AF2EB" w:rsidRPr="008D7F27">
        <w:rPr>
          <w:lang w:val="es-ES"/>
        </w:rPr>
        <w:t xml:space="preserve">las experiencias internacionales combinan en distinta proporción elementos </w:t>
      </w:r>
      <w:r w:rsidR="007428AA" w:rsidRPr="008D7F27">
        <w:rPr>
          <w:lang w:val="es-ES"/>
        </w:rPr>
        <w:t xml:space="preserve">tanto </w:t>
      </w:r>
      <w:r w:rsidR="521AF2EB" w:rsidRPr="008D7F27">
        <w:rPr>
          <w:lang w:val="es-ES"/>
        </w:rPr>
        <w:t xml:space="preserve">de criticidad </w:t>
      </w:r>
      <w:r w:rsidR="007428AA" w:rsidRPr="008D7F27">
        <w:rPr>
          <w:lang w:val="es-ES"/>
        </w:rPr>
        <w:t>como de</w:t>
      </w:r>
      <w:r w:rsidR="521AF2EB" w:rsidRPr="008D7F27">
        <w:rPr>
          <w:lang w:val="es-ES"/>
        </w:rPr>
        <w:t xml:space="preserve"> estratégicos, de manera que la relevancia de un mineral se evalúa simultáneamente por su exposición a riesgos </w:t>
      </w:r>
      <w:r w:rsidR="00DF7938" w:rsidRPr="008D7F27">
        <w:rPr>
          <w:lang w:val="es-ES"/>
        </w:rPr>
        <w:t>de suministro</w:t>
      </w:r>
      <w:r w:rsidR="521AF2EB" w:rsidRPr="008D7F27">
        <w:rPr>
          <w:lang w:val="es-ES"/>
        </w:rPr>
        <w:t xml:space="preserve"> y por su capacidad de aportar al desarrollo económico, productivo, industrial, tecnológico y estratégico del país. </w:t>
      </w:r>
    </w:p>
    <w:p w14:paraId="09A7BF52" w14:textId="77777777" w:rsidR="00EB420A" w:rsidRPr="008D7F27" w:rsidRDefault="521AF2EB" w:rsidP="00537988">
      <w:pPr>
        <w:rPr>
          <w:lang w:val="es-ES"/>
        </w:rPr>
      </w:pPr>
      <w:r w:rsidRPr="008D7F27">
        <w:rPr>
          <w:lang w:val="es-ES"/>
        </w:rPr>
        <w:t xml:space="preserve">En consecuencia, para el caso colombiano resulta </w:t>
      </w:r>
      <w:r w:rsidR="6ECDC43D" w:rsidRPr="008D7F27">
        <w:rPr>
          <w:lang w:val="es-ES"/>
        </w:rPr>
        <w:t xml:space="preserve">conveniente </w:t>
      </w:r>
      <w:r w:rsidRPr="008D7F27">
        <w:rPr>
          <w:lang w:val="es-ES"/>
        </w:rPr>
        <w:t>que la actualización mantenga el foco en la determinación de minerales estratégicos,</w:t>
      </w:r>
      <w:r w:rsidR="74D51A79" w:rsidRPr="008D7F27">
        <w:rPr>
          <w:lang w:val="es-ES"/>
        </w:rPr>
        <w:t xml:space="preserve"> sin</w:t>
      </w:r>
      <w:r w:rsidRPr="008D7F27">
        <w:rPr>
          <w:lang w:val="es-ES"/>
        </w:rPr>
        <w:t xml:space="preserve"> desconocer que algunas variables utilizadas en otros países bajo la lógica de la criticidad pueden aportar elementos útiles para su evaluación.</w:t>
      </w:r>
      <w:r w:rsidR="00AA642C" w:rsidRPr="008D7F27">
        <w:rPr>
          <w:lang w:val="es-ES"/>
        </w:rPr>
        <w:t xml:space="preserve"> Lo anterior, considerando que la Autoridad Minera Nacional cuenta con la facultad única y exclusiva para determinar los minerales de interés estratégico para el País y no minerales críticos, otorgada mediante el artículo 108 de la Ley 1450 de 2011, por medio de la cual se expidió el Plan Nacional de Desarrollo 2010 – 2014.</w:t>
      </w:r>
    </w:p>
    <w:p w14:paraId="036375B3" w14:textId="77777777" w:rsidR="12E124AC" w:rsidRPr="008D7F27" w:rsidRDefault="00D725A1" w:rsidP="00537988">
      <w:pPr>
        <w:rPr>
          <w:lang w:val="es-ES"/>
        </w:rPr>
      </w:pPr>
      <w:r w:rsidRPr="008D7F27">
        <w:rPr>
          <w:lang w:val="es-ES"/>
        </w:rPr>
        <w:t xml:space="preserve">Además, en </w:t>
      </w:r>
      <w:r w:rsidR="12E124AC" w:rsidRPr="008D7F27">
        <w:rPr>
          <w:lang w:val="es-ES"/>
        </w:rPr>
        <w:t xml:space="preserve">el análisis de las experiencias internacionales </w:t>
      </w:r>
      <w:r w:rsidRPr="008D7F27">
        <w:rPr>
          <w:lang w:val="es-ES"/>
        </w:rPr>
        <w:t>se identific</w:t>
      </w:r>
      <w:r w:rsidR="00AA642C" w:rsidRPr="008D7F27">
        <w:rPr>
          <w:lang w:val="es-ES"/>
        </w:rPr>
        <w:t>a</w:t>
      </w:r>
      <w:r w:rsidR="12E124AC" w:rsidRPr="008D7F27">
        <w:rPr>
          <w:lang w:val="es-ES"/>
        </w:rPr>
        <w:t xml:space="preserve"> una correlación entre el nivel de ingresos de las naciones y su enfoque metodológico. Mientras que las economías de ingresos altos priorizan l</w:t>
      </w:r>
      <w:r w:rsidR="5A6D7149" w:rsidRPr="008D7F27">
        <w:rPr>
          <w:lang w:val="es-ES"/>
        </w:rPr>
        <w:t xml:space="preserve">os criterios de </w:t>
      </w:r>
      <w:r w:rsidR="730522C7" w:rsidRPr="008D7F27">
        <w:rPr>
          <w:lang w:val="es-ES"/>
        </w:rPr>
        <w:t>seguridad del suministro y el riesgo de desabastecimiento</w:t>
      </w:r>
      <w:r w:rsidR="5A6D7149" w:rsidRPr="008D7F27">
        <w:rPr>
          <w:lang w:val="es-ES"/>
        </w:rPr>
        <w:t xml:space="preserve">, </w:t>
      </w:r>
      <w:r w:rsidR="12E124AC" w:rsidRPr="008D7F27">
        <w:rPr>
          <w:lang w:val="es-ES"/>
        </w:rPr>
        <w:t xml:space="preserve">los países de ingresos medios tienden a enfatizar </w:t>
      </w:r>
      <w:r w:rsidR="4E72D179" w:rsidRPr="008D7F27">
        <w:rPr>
          <w:lang w:val="es-ES"/>
        </w:rPr>
        <w:t xml:space="preserve">el </w:t>
      </w:r>
      <w:r w:rsidR="12E124AC" w:rsidRPr="008D7F27">
        <w:rPr>
          <w:lang w:val="es-ES"/>
        </w:rPr>
        <w:t xml:space="preserve">aprovechamiento del potencial geológico como motor de desarrollo industrial. </w:t>
      </w:r>
    </w:p>
    <w:p w14:paraId="19A6FD64" w14:textId="77777777" w:rsidR="12E124AC" w:rsidRPr="008D7F27" w:rsidRDefault="12E124AC" w:rsidP="00537988">
      <w:pPr>
        <w:rPr>
          <w:lang w:val="es-ES"/>
        </w:rPr>
      </w:pPr>
      <w:r w:rsidRPr="008D7F27">
        <w:rPr>
          <w:lang w:val="es-ES"/>
        </w:rPr>
        <w:t>Esta distinción es fundamental para el modelo propuesto, ya que permite a Colombia adoptar una estructura híbrida que pondera ambos criterios. Al integrar la visión de 'mineral estratégico' (oportunidad) con la de 'mineral crítico' (riesgo</w:t>
      </w:r>
      <w:r w:rsidR="0711F832" w:rsidRPr="008D7F27">
        <w:rPr>
          <w:lang w:val="es-ES"/>
        </w:rPr>
        <w:t xml:space="preserve"> de suministro</w:t>
      </w:r>
      <w:r w:rsidRPr="008D7F27">
        <w:rPr>
          <w:lang w:val="es-ES"/>
        </w:rPr>
        <w:t xml:space="preserve">), se </w:t>
      </w:r>
      <w:r w:rsidR="00D725A1" w:rsidRPr="008D7F27">
        <w:rPr>
          <w:lang w:val="es-ES"/>
        </w:rPr>
        <w:t xml:space="preserve">adopta </w:t>
      </w:r>
      <w:r w:rsidRPr="008D7F27">
        <w:rPr>
          <w:lang w:val="es-ES"/>
        </w:rPr>
        <w:t xml:space="preserve">una metodología que </w:t>
      </w:r>
      <w:r w:rsidR="22C0A58F" w:rsidRPr="008D7F27">
        <w:rPr>
          <w:lang w:val="es-ES"/>
        </w:rPr>
        <w:t xml:space="preserve">prioriza la seguridad de las cadenas de suministro y al </w:t>
      </w:r>
      <w:r w:rsidR="1E9DEAA8" w:rsidRPr="008D7F27">
        <w:rPr>
          <w:lang w:val="es-ES"/>
        </w:rPr>
        <w:t>mismo tiempo</w:t>
      </w:r>
      <w:r w:rsidR="22C0A58F" w:rsidRPr="008D7F27">
        <w:rPr>
          <w:lang w:val="es-ES"/>
        </w:rPr>
        <w:t xml:space="preserve"> </w:t>
      </w:r>
      <w:r w:rsidR="241C09B5" w:rsidRPr="008D7F27">
        <w:rPr>
          <w:lang w:val="es-ES"/>
        </w:rPr>
        <w:t xml:space="preserve">el </w:t>
      </w:r>
      <w:r w:rsidR="22C0A58F" w:rsidRPr="008D7F27">
        <w:rPr>
          <w:lang w:val="es-ES"/>
        </w:rPr>
        <w:t xml:space="preserve">desarrollo </w:t>
      </w:r>
      <w:r w:rsidR="34198305" w:rsidRPr="008D7F27">
        <w:rPr>
          <w:lang w:val="es-ES"/>
        </w:rPr>
        <w:t xml:space="preserve">productivo. </w:t>
      </w:r>
    </w:p>
    <w:p w14:paraId="3653A2FF" w14:textId="77777777" w:rsidR="00EB420A" w:rsidRPr="008D7F27" w:rsidRDefault="521AF2EB" w:rsidP="00537988">
      <w:pPr>
        <w:rPr>
          <w:lang w:val="es-ES"/>
        </w:rPr>
      </w:pPr>
      <w:r w:rsidRPr="008D7F27">
        <w:rPr>
          <w:lang w:val="es-ES"/>
        </w:rPr>
        <w:t xml:space="preserve">Como aspecto general, se </w:t>
      </w:r>
      <w:r w:rsidR="7CD03DAE" w:rsidRPr="008D7F27">
        <w:rPr>
          <w:lang w:val="es-ES"/>
        </w:rPr>
        <w:t>identifica</w:t>
      </w:r>
      <w:r w:rsidRPr="008D7F27">
        <w:rPr>
          <w:lang w:val="es-ES"/>
        </w:rPr>
        <w:t xml:space="preserve"> que l</w:t>
      </w:r>
      <w:r w:rsidR="1B526651" w:rsidRPr="008D7F27">
        <w:rPr>
          <w:lang w:val="es-ES"/>
        </w:rPr>
        <w:t xml:space="preserve">a </w:t>
      </w:r>
      <w:r w:rsidRPr="008D7F27">
        <w:rPr>
          <w:lang w:val="es-ES"/>
        </w:rPr>
        <w:t xml:space="preserve">actualización de lineamientos para Colombia </w:t>
      </w:r>
      <w:r w:rsidR="00D725A1" w:rsidRPr="008D7F27">
        <w:rPr>
          <w:lang w:val="es-ES"/>
        </w:rPr>
        <w:t>debe considerar múltiples criterios que permita</w:t>
      </w:r>
      <w:r w:rsidRPr="008D7F27">
        <w:rPr>
          <w:lang w:val="es-ES"/>
        </w:rPr>
        <w:t xml:space="preserve"> ponderar de manera conjunta múltiples dimensiones. </w:t>
      </w:r>
      <w:r w:rsidR="18443AF2" w:rsidRPr="008D7F27">
        <w:rPr>
          <w:lang w:val="es-ES"/>
        </w:rPr>
        <w:t>El escenario</w:t>
      </w:r>
      <w:r w:rsidRPr="008D7F27">
        <w:rPr>
          <w:lang w:val="es-ES"/>
        </w:rPr>
        <w:t xml:space="preserve"> internacional </w:t>
      </w:r>
      <w:r w:rsidR="787BC7DE" w:rsidRPr="008D7F27">
        <w:rPr>
          <w:lang w:val="es-ES"/>
        </w:rPr>
        <w:t>evidencia</w:t>
      </w:r>
      <w:r w:rsidRPr="008D7F27">
        <w:rPr>
          <w:lang w:val="es-ES"/>
        </w:rPr>
        <w:t xml:space="preserve"> que los modelos </w:t>
      </w:r>
      <w:r w:rsidRPr="008D7F27">
        <w:rPr>
          <w:lang w:val="es-ES"/>
        </w:rPr>
        <w:lastRenderedPageBreak/>
        <w:t xml:space="preserve">más consistentes no derivan </w:t>
      </w:r>
      <w:r w:rsidR="0078644D" w:rsidRPr="008D7F27">
        <w:rPr>
          <w:lang w:val="es-ES"/>
        </w:rPr>
        <w:t>en</w:t>
      </w:r>
      <w:r w:rsidRPr="008D7F27">
        <w:rPr>
          <w:lang w:val="es-ES"/>
        </w:rPr>
        <w:t xml:space="preserve"> la clasificación de un único factor, sino de combinaciones de variables que luego son priorizadas según los objetivos de</w:t>
      </w:r>
      <w:r w:rsidR="27121892" w:rsidRPr="008D7F27">
        <w:rPr>
          <w:lang w:val="es-ES"/>
        </w:rPr>
        <w:t xml:space="preserve"> cada</w:t>
      </w:r>
      <w:r w:rsidRPr="008D7F27">
        <w:rPr>
          <w:lang w:val="es-ES"/>
        </w:rPr>
        <w:t xml:space="preserve"> país. En consecuencia, para Colombia resulta metodológicamente </w:t>
      </w:r>
      <w:r w:rsidR="357FDB8A" w:rsidRPr="008D7F27">
        <w:rPr>
          <w:lang w:val="es-ES"/>
        </w:rPr>
        <w:t xml:space="preserve">pertinente </w:t>
      </w:r>
      <w:r w:rsidRPr="008D7F27">
        <w:rPr>
          <w:lang w:val="es-ES"/>
        </w:rPr>
        <w:t xml:space="preserve">avanzar hacia un esquema de lineamientos articulados </w:t>
      </w:r>
      <w:r w:rsidR="0078644D" w:rsidRPr="008D7F27">
        <w:rPr>
          <w:lang w:val="es-ES"/>
        </w:rPr>
        <w:t>que permitan su valoración acorde con la metodología a</w:t>
      </w:r>
      <w:r w:rsidR="00B97D89" w:rsidRPr="008D7F27">
        <w:rPr>
          <w:lang w:val="es-ES"/>
        </w:rPr>
        <w:t xml:space="preserve"> aplicar.</w:t>
      </w:r>
    </w:p>
    <w:p w14:paraId="41A0D6EB" w14:textId="77777777" w:rsidR="0DCAE67E" w:rsidRPr="008D7F27" w:rsidRDefault="0DCAE67E" w:rsidP="00537988">
      <w:pPr>
        <w:rPr>
          <w:lang w:val="es-ES"/>
        </w:rPr>
      </w:pPr>
      <w:r w:rsidRPr="008D7F27">
        <w:rPr>
          <w:lang w:val="es-ES"/>
        </w:rPr>
        <w:t>Además, se reconoce la importancia de concebir los lineamientos resultantes como un marco adaptable y revisable. Uno de los hallazgos más consistentes del análisis internacional es que la relevancia de los minerales puede cambiar debido a factores tecnológicos, geopolíticos, industriales, comerciales o de demanda</w:t>
      </w:r>
      <w:r w:rsidR="00B97D89" w:rsidRPr="008D7F27">
        <w:rPr>
          <w:lang w:val="es-ES"/>
        </w:rPr>
        <w:t>, entre otros</w:t>
      </w:r>
      <w:r w:rsidRPr="008D7F27">
        <w:rPr>
          <w:lang w:val="es-ES"/>
        </w:rPr>
        <w:t xml:space="preserve">. Por lo tanto, resulta </w:t>
      </w:r>
      <w:r w:rsidR="00B97D89" w:rsidRPr="008D7F27">
        <w:rPr>
          <w:lang w:val="es-ES"/>
        </w:rPr>
        <w:t>conveniente para</w:t>
      </w:r>
      <w:r w:rsidRPr="008D7F27">
        <w:rPr>
          <w:lang w:val="es-ES"/>
        </w:rPr>
        <w:t xml:space="preserve"> Colombia </w:t>
      </w:r>
      <w:r w:rsidR="00B97D89" w:rsidRPr="008D7F27">
        <w:rPr>
          <w:lang w:val="es-ES"/>
        </w:rPr>
        <w:t xml:space="preserve">establecer </w:t>
      </w:r>
      <w:r w:rsidRPr="008D7F27">
        <w:rPr>
          <w:lang w:val="es-ES"/>
        </w:rPr>
        <w:t>lineamientos que permitan ajustes periódicos, sustentados técnica y metodológicamente</w:t>
      </w:r>
      <w:r w:rsidR="00B97D89" w:rsidRPr="008D7F27">
        <w:rPr>
          <w:lang w:val="es-ES"/>
        </w:rPr>
        <w:t>.</w:t>
      </w:r>
    </w:p>
    <w:p w14:paraId="5261DDBF" w14:textId="77777777" w:rsidR="00D92367" w:rsidRPr="008D7F27" w:rsidRDefault="277CBE27" w:rsidP="04B0DA99">
      <w:pPr>
        <w:pStyle w:val="Ttulo3"/>
        <w:rPr>
          <w:lang w:val="es-ES"/>
        </w:rPr>
      </w:pPr>
      <w:bookmarkStart w:id="37" w:name="_Toc229145828"/>
      <w:bookmarkStart w:id="38" w:name="_Toc1881755761"/>
      <w:r w:rsidRPr="16F44784">
        <w:rPr>
          <w:lang w:val="es-ES"/>
        </w:rPr>
        <w:t>Lineamientos a considerar</w:t>
      </w:r>
      <w:r w:rsidR="2B1EA03E" w:rsidRPr="16F44784">
        <w:rPr>
          <w:lang w:val="es-ES"/>
        </w:rPr>
        <w:t xml:space="preserve"> en Colombia</w:t>
      </w:r>
      <w:r w:rsidRPr="16F44784">
        <w:rPr>
          <w:lang w:val="es-ES"/>
        </w:rPr>
        <w:t xml:space="preserve"> </w:t>
      </w:r>
      <w:r w:rsidR="4372AD92" w:rsidRPr="16F44784">
        <w:rPr>
          <w:lang w:val="es-ES"/>
        </w:rPr>
        <w:t xml:space="preserve">conforme </w:t>
      </w:r>
      <w:r w:rsidR="151BAEC4" w:rsidRPr="16F44784">
        <w:rPr>
          <w:lang w:val="es-ES"/>
        </w:rPr>
        <w:t xml:space="preserve">al análisis del </w:t>
      </w:r>
      <w:r w:rsidR="4372AD92" w:rsidRPr="16F44784">
        <w:rPr>
          <w:lang w:val="es-ES"/>
        </w:rPr>
        <w:t>contexto internacional</w:t>
      </w:r>
      <w:bookmarkEnd w:id="37"/>
      <w:bookmarkEnd w:id="38"/>
    </w:p>
    <w:p w14:paraId="0F84C334" w14:textId="77777777" w:rsidR="00781F5D" w:rsidRPr="008D7F27" w:rsidRDefault="03B9FE0F">
      <w:pPr>
        <w:pStyle w:val="Prrafodelista"/>
        <w:numPr>
          <w:ilvl w:val="0"/>
          <w:numId w:val="15"/>
        </w:numPr>
        <w:rPr>
          <w:lang w:val="es-ES"/>
        </w:rPr>
      </w:pPr>
      <w:r w:rsidRPr="008D7F27">
        <w:rPr>
          <w:b/>
          <w:lang w:val="es-ES"/>
        </w:rPr>
        <w:t xml:space="preserve">Seguridad de abastecimiento y vulnerabilidad externa: </w:t>
      </w:r>
      <w:r w:rsidR="00C2370D" w:rsidRPr="008D7F27">
        <w:rPr>
          <w:lang w:val="es-ES"/>
        </w:rPr>
        <w:t>s</w:t>
      </w:r>
      <w:r w:rsidRPr="008D7F27">
        <w:rPr>
          <w:lang w:val="es-ES"/>
        </w:rPr>
        <w:t xml:space="preserve">e recomienda incorporar de manera expresa un lineamiento orientado a identificar minerales cuya disponibilidad para Colombia pueda verse afectada por alta concentración geográfica de la oferta, dependencia de importaciones, interrupciones en cadenas de suministro, restricciones comerciales, choques geopolíticos o baja disponibilidad de alternativas de abastecimiento. El análisis comparado muestra que este </w:t>
      </w:r>
      <w:r w:rsidR="008E382B" w:rsidRPr="008D7F27">
        <w:rPr>
          <w:lang w:val="es-ES"/>
        </w:rPr>
        <w:t>tema es uno de los</w:t>
      </w:r>
      <w:r w:rsidRPr="008D7F27">
        <w:rPr>
          <w:lang w:val="es-ES"/>
        </w:rPr>
        <w:t xml:space="preserve"> más recurrentes, especialmente en las economías de ingresos altos, </w:t>
      </w:r>
      <w:r w:rsidR="008E382B" w:rsidRPr="008D7F27">
        <w:rPr>
          <w:lang w:val="es-ES"/>
        </w:rPr>
        <w:t xml:space="preserve">así como </w:t>
      </w:r>
      <w:r w:rsidRPr="008D7F27">
        <w:rPr>
          <w:lang w:val="es-ES"/>
        </w:rPr>
        <w:t>en varias economías de ingresos medios.</w:t>
      </w:r>
    </w:p>
    <w:p w14:paraId="73415B0F" w14:textId="77777777" w:rsidR="00781F5D" w:rsidRPr="008D7F27" w:rsidRDefault="03B9FE0F">
      <w:pPr>
        <w:pStyle w:val="Prrafodelista"/>
        <w:numPr>
          <w:ilvl w:val="0"/>
          <w:numId w:val="15"/>
        </w:numPr>
        <w:rPr>
          <w:lang w:val="es-ES"/>
        </w:rPr>
      </w:pPr>
      <w:r w:rsidRPr="008D7F27">
        <w:rPr>
          <w:b/>
          <w:lang w:val="es-ES"/>
        </w:rPr>
        <w:t>Importancia económica y efectos macroeconómicos:</w:t>
      </w:r>
      <w:r w:rsidRPr="008D7F27">
        <w:rPr>
          <w:lang w:val="es-ES"/>
        </w:rPr>
        <w:t xml:space="preserve"> </w:t>
      </w:r>
      <w:r w:rsidR="00C2370D" w:rsidRPr="008D7F27">
        <w:rPr>
          <w:lang w:val="es-ES"/>
        </w:rPr>
        <w:t>s</w:t>
      </w:r>
      <w:r w:rsidRPr="008D7F27">
        <w:rPr>
          <w:lang w:val="es-ES"/>
        </w:rPr>
        <w:t xml:space="preserve">e recomienda </w:t>
      </w:r>
      <w:r w:rsidR="001A0560" w:rsidRPr="008D7F27">
        <w:rPr>
          <w:lang w:val="es-ES"/>
        </w:rPr>
        <w:t>incluir un lineamiento</w:t>
      </w:r>
      <w:r w:rsidRPr="008D7F27">
        <w:rPr>
          <w:lang w:val="es-ES"/>
        </w:rPr>
        <w:t xml:space="preserve"> </w:t>
      </w:r>
      <w:r w:rsidR="001A0560" w:rsidRPr="008D7F27">
        <w:rPr>
          <w:lang w:val="es-ES"/>
        </w:rPr>
        <w:t>relacionado con</w:t>
      </w:r>
      <w:r w:rsidRPr="008D7F27">
        <w:rPr>
          <w:lang w:val="es-ES"/>
        </w:rPr>
        <w:t xml:space="preserve"> </w:t>
      </w:r>
      <w:r w:rsidR="001A0560" w:rsidRPr="008D7F27">
        <w:rPr>
          <w:lang w:val="es-ES"/>
        </w:rPr>
        <w:t>el aporte</w:t>
      </w:r>
      <w:r w:rsidRPr="008D7F27">
        <w:rPr>
          <w:lang w:val="es-ES"/>
        </w:rPr>
        <w:t xml:space="preserve"> económico del mineral</w:t>
      </w:r>
      <w:r w:rsidR="001A0560" w:rsidRPr="008D7F27">
        <w:rPr>
          <w:lang w:val="es-ES"/>
        </w:rPr>
        <w:t xml:space="preserve"> a la nación</w:t>
      </w:r>
      <w:r w:rsidRPr="008D7F27">
        <w:rPr>
          <w:lang w:val="es-ES"/>
        </w:rPr>
        <w:t xml:space="preserve">, considerando no solo su aporte actual o potencial, sino también el impacto que tendría su ausencia, escasez o pérdida de oportunidad sobre sectores relevantes, ingresos, exportaciones, encadenamientos productivos o actividad económica en general. Este componente aparece de forma reiterada en </w:t>
      </w:r>
      <w:r w:rsidR="001A0560" w:rsidRPr="008D7F27">
        <w:rPr>
          <w:lang w:val="es-ES"/>
        </w:rPr>
        <w:t>los grupos de países analizados, siendo uno de los temas de coincidencia entre los conceptos de minerales</w:t>
      </w:r>
      <w:r w:rsidRPr="008D7F27">
        <w:rPr>
          <w:lang w:val="es-ES"/>
        </w:rPr>
        <w:t xml:space="preserve"> estratégicos y críticos. </w:t>
      </w:r>
    </w:p>
    <w:p w14:paraId="2D4F3EFE" w14:textId="77777777" w:rsidR="00781F5D" w:rsidRPr="008D7F27" w:rsidRDefault="03B9FE0F">
      <w:pPr>
        <w:pStyle w:val="Prrafodelista"/>
        <w:numPr>
          <w:ilvl w:val="0"/>
          <w:numId w:val="15"/>
        </w:numPr>
        <w:rPr>
          <w:lang w:val="es-ES"/>
        </w:rPr>
      </w:pPr>
      <w:r w:rsidRPr="008D7F27">
        <w:rPr>
          <w:b/>
          <w:lang w:val="es-ES"/>
        </w:rPr>
        <w:t>Función productiva, industrial y tecnológica:</w:t>
      </w:r>
      <w:r w:rsidRPr="008D7F27">
        <w:rPr>
          <w:lang w:val="es-ES"/>
        </w:rPr>
        <w:t xml:space="preserve"> </w:t>
      </w:r>
      <w:r w:rsidR="00C2370D" w:rsidRPr="008D7F27">
        <w:rPr>
          <w:lang w:val="es-ES"/>
        </w:rPr>
        <w:t>s</w:t>
      </w:r>
      <w:r w:rsidRPr="008D7F27">
        <w:rPr>
          <w:lang w:val="es-ES"/>
        </w:rPr>
        <w:t xml:space="preserve">e recomienda </w:t>
      </w:r>
      <w:r w:rsidR="001A0560" w:rsidRPr="008D7F27">
        <w:rPr>
          <w:lang w:val="es-ES"/>
        </w:rPr>
        <w:t xml:space="preserve">un </w:t>
      </w:r>
      <w:r w:rsidRPr="008D7F27">
        <w:rPr>
          <w:lang w:val="es-ES"/>
        </w:rPr>
        <w:t>lineamiento</w:t>
      </w:r>
      <w:r w:rsidR="001A0560" w:rsidRPr="008D7F27">
        <w:rPr>
          <w:lang w:val="es-ES"/>
        </w:rPr>
        <w:t xml:space="preserve"> con el cual se pueda considerar la </w:t>
      </w:r>
      <w:r w:rsidRPr="008D7F27">
        <w:rPr>
          <w:lang w:val="es-ES"/>
        </w:rPr>
        <w:t xml:space="preserve">capacidad del mineral para </w:t>
      </w:r>
      <w:r w:rsidR="001A0560" w:rsidRPr="008D7F27">
        <w:rPr>
          <w:lang w:val="es-ES"/>
        </w:rPr>
        <w:t xml:space="preserve">ser usado en </w:t>
      </w:r>
      <w:r w:rsidRPr="008D7F27">
        <w:rPr>
          <w:lang w:val="es-ES"/>
        </w:rPr>
        <w:t xml:space="preserve">actividades industriales o tecnológicas consideradas relevantes para el país. </w:t>
      </w:r>
      <w:r w:rsidR="001A0560" w:rsidRPr="008D7F27">
        <w:rPr>
          <w:lang w:val="es-ES"/>
        </w:rPr>
        <w:t xml:space="preserve">El análisis realizado muestra que a nivel </w:t>
      </w:r>
      <w:r w:rsidRPr="008D7F27">
        <w:rPr>
          <w:lang w:val="es-ES"/>
        </w:rPr>
        <w:t xml:space="preserve">internacional muchos países otorgan </w:t>
      </w:r>
      <w:r w:rsidR="001A0560" w:rsidRPr="008D7F27">
        <w:rPr>
          <w:lang w:val="es-ES"/>
        </w:rPr>
        <w:t>relevancia</w:t>
      </w:r>
      <w:r w:rsidRPr="008D7F27">
        <w:rPr>
          <w:lang w:val="es-ES"/>
        </w:rPr>
        <w:t xml:space="preserve"> a minerales vinculados con manufactura avanzada, transición energética, digitalización, infraestructura industrial y tecnología. Para Colombia, este lineamiento </w:t>
      </w:r>
      <w:r w:rsidR="00501688" w:rsidRPr="008D7F27">
        <w:rPr>
          <w:lang w:val="es-ES"/>
        </w:rPr>
        <w:t>permitirá</w:t>
      </w:r>
      <w:r w:rsidRPr="008D7F27">
        <w:rPr>
          <w:lang w:val="es-ES"/>
        </w:rPr>
        <w:t xml:space="preserve"> valorar no solo el recurso en sí mismo, sino su potencial de inserción en cadenas de valor, agregación de valor y transformación productiva.</w:t>
      </w:r>
    </w:p>
    <w:p w14:paraId="5430695E" w14:textId="77777777" w:rsidR="00781F5D" w:rsidRPr="008D7F27" w:rsidRDefault="03B9FE0F">
      <w:pPr>
        <w:pStyle w:val="Prrafodelista"/>
        <w:numPr>
          <w:ilvl w:val="0"/>
          <w:numId w:val="15"/>
        </w:numPr>
        <w:rPr>
          <w:lang w:val="es-ES"/>
        </w:rPr>
      </w:pPr>
      <w:r w:rsidRPr="008D7F27">
        <w:rPr>
          <w:b/>
          <w:lang w:val="es-ES"/>
        </w:rPr>
        <w:lastRenderedPageBreak/>
        <w:t>Potencial geológico, posibilidad efectiva de desarrollo y ventaja nacional:</w:t>
      </w:r>
      <w:r w:rsidRPr="008D7F27">
        <w:rPr>
          <w:lang w:val="es-ES"/>
        </w:rPr>
        <w:t xml:space="preserve"> </w:t>
      </w:r>
      <w:r w:rsidR="00C2370D" w:rsidRPr="008D7F27">
        <w:rPr>
          <w:lang w:val="es-ES"/>
        </w:rPr>
        <w:t>s</w:t>
      </w:r>
      <w:r w:rsidRPr="008D7F27">
        <w:rPr>
          <w:lang w:val="es-ES"/>
        </w:rPr>
        <w:t xml:space="preserve">e recomienda incorporar un </w:t>
      </w:r>
      <w:r w:rsidR="001A0560" w:rsidRPr="008D7F27">
        <w:rPr>
          <w:lang w:val="es-ES"/>
        </w:rPr>
        <w:t xml:space="preserve">lineamiento </w:t>
      </w:r>
      <w:r w:rsidRPr="008D7F27">
        <w:rPr>
          <w:lang w:val="es-ES"/>
        </w:rPr>
        <w:t xml:space="preserve">orientado a </w:t>
      </w:r>
      <w:r w:rsidR="00FE088D" w:rsidRPr="008D7F27">
        <w:rPr>
          <w:lang w:val="es-ES"/>
        </w:rPr>
        <w:t xml:space="preserve">considerar las </w:t>
      </w:r>
      <w:r w:rsidRPr="008D7F27">
        <w:rPr>
          <w:lang w:val="es-ES"/>
        </w:rPr>
        <w:t>condiciones geológicas favorables, potencial de exploración, posibilidades de producción o alguna ventaja comparativa frente al recurso</w:t>
      </w:r>
      <w:r w:rsidR="00FE088D" w:rsidRPr="008D7F27">
        <w:rPr>
          <w:lang w:val="es-ES"/>
        </w:rPr>
        <w:t xml:space="preserve"> mineral en Colombia</w:t>
      </w:r>
      <w:r w:rsidRPr="008D7F27">
        <w:rPr>
          <w:lang w:val="es-ES"/>
        </w:rPr>
        <w:t xml:space="preserve">. </w:t>
      </w:r>
      <w:r w:rsidR="00FE088D" w:rsidRPr="008D7F27">
        <w:rPr>
          <w:lang w:val="es-ES"/>
        </w:rPr>
        <w:t>En el</w:t>
      </w:r>
      <w:r w:rsidRPr="008D7F27">
        <w:rPr>
          <w:lang w:val="es-ES"/>
        </w:rPr>
        <w:t xml:space="preserve"> análisis </w:t>
      </w:r>
      <w:r w:rsidR="00FE088D" w:rsidRPr="008D7F27">
        <w:rPr>
          <w:lang w:val="es-ES"/>
        </w:rPr>
        <w:t>realizado se identifica que</w:t>
      </w:r>
      <w:r w:rsidRPr="008D7F27">
        <w:rPr>
          <w:lang w:val="es-ES"/>
        </w:rPr>
        <w:t xml:space="preserve">, </w:t>
      </w:r>
      <w:r w:rsidR="00FE088D" w:rsidRPr="008D7F27">
        <w:rPr>
          <w:lang w:val="es-ES"/>
        </w:rPr>
        <w:t>respecto a</w:t>
      </w:r>
      <w:r w:rsidRPr="008D7F27">
        <w:rPr>
          <w:lang w:val="es-ES"/>
        </w:rPr>
        <w:t xml:space="preserve"> minerales estratégicos, varios países consideran de manera expresa </w:t>
      </w:r>
      <w:r w:rsidR="00FE088D" w:rsidRPr="008D7F27">
        <w:rPr>
          <w:lang w:val="es-ES"/>
        </w:rPr>
        <w:t>el potencial geológico</w:t>
      </w:r>
      <w:r w:rsidRPr="008D7F27">
        <w:rPr>
          <w:lang w:val="es-ES"/>
        </w:rPr>
        <w:t xml:space="preserve">, la posibilidad de </w:t>
      </w:r>
      <w:r w:rsidR="00FE088D" w:rsidRPr="008D7F27">
        <w:rPr>
          <w:lang w:val="es-ES"/>
        </w:rPr>
        <w:t>su explotación a nivel nacional, así como</w:t>
      </w:r>
      <w:r w:rsidRPr="008D7F27">
        <w:rPr>
          <w:lang w:val="es-ES"/>
        </w:rPr>
        <w:t xml:space="preserve"> la </w:t>
      </w:r>
      <w:r w:rsidR="00FE088D" w:rsidRPr="008D7F27">
        <w:rPr>
          <w:lang w:val="es-ES"/>
        </w:rPr>
        <w:t>posible ventaja</w:t>
      </w:r>
      <w:r w:rsidRPr="008D7F27">
        <w:rPr>
          <w:lang w:val="es-ES"/>
        </w:rPr>
        <w:t xml:space="preserve"> </w:t>
      </w:r>
      <w:r w:rsidR="00FE088D" w:rsidRPr="008D7F27">
        <w:rPr>
          <w:lang w:val="es-ES"/>
        </w:rPr>
        <w:t>que le otorga el recurso frente a las líneas estratégicas del país.</w:t>
      </w:r>
      <w:r w:rsidRPr="008D7F27">
        <w:rPr>
          <w:lang w:val="es-ES"/>
        </w:rPr>
        <w:t xml:space="preserve"> </w:t>
      </w:r>
    </w:p>
    <w:p w14:paraId="604725D8" w14:textId="77777777" w:rsidR="00781F5D" w:rsidRPr="008D7F27" w:rsidRDefault="03B9FE0F">
      <w:pPr>
        <w:pStyle w:val="Prrafodelista"/>
        <w:numPr>
          <w:ilvl w:val="0"/>
          <w:numId w:val="15"/>
        </w:numPr>
        <w:rPr>
          <w:lang w:val="es-ES"/>
        </w:rPr>
      </w:pPr>
      <w:r w:rsidRPr="008D7F27">
        <w:rPr>
          <w:b/>
          <w:lang w:val="es-ES"/>
        </w:rPr>
        <w:t>Posicionamiento internacional, cadenas globales de valor y demanda futura:</w:t>
      </w:r>
      <w:r w:rsidRPr="008D7F27">
        <w:rPr>
          <w:lang w:val="es-ES"/>
        </w:rPr>
        <w:t xml:space="preserve"> </w:t>
      </w:r>
      <w:r w:rsidR="00C2370D" w:rsidRPr="008D7F27">
        <w:rPr>
          <w:lang w:val="es-ES"/>
        </w:rPr>
        <w:t>s</w:t>
      </w:r>
      <w:r w:rsidRPr="008D7F27">
        <w:rPr>
          <w:lang w:val="es-ES"/>
        </w:rPr>
        <w:t xml:space="preserve">e recomienda </w:t>
      </w:r>
      <w:r w:rsidR="005C01FA" w:rsidRPr="008D7F27">
        <w:rPr>
          <w:lang w:val="es-ES"/>
        </w:rPr>
        <w:t xml:space="preserve">incluir un lineamiento con el cual se pueda considerar </w:t>
      </w:r>
      <w:r w:rsidRPr="008D7F27">
        <w:rPr>
          <w:lang w:val="es-ES"/>
        </w:rPr>
        <w:t xml:space="preserve">la relevancia del mineral dentro de cadenas globales de suministro y su demanda proyectada en sectores de crecimiento, particularmente </w:t>
      </w:r>
      <w:r w:rsidR="005C01FA" w:rsidRPr="008D7F27">
        <w:rPr>
          <w:lang w:val="es-ES"/>
        </w:rPr>
        <w:t>si el</w:t>
      </w:r>
      <w:r w:rsidRPr="008D7F27">
        <w:rPr>
          <w:lang w:val="es-ES"/>
        </w:rPr>
        <w:t xml:space="preserve"> recurso es </w:t>
      </w:r>
      <w:r w:rsidR="005C01FA" w:rsidRPr="008D7F27">
        <w:rPr>
          <w:lang w:val="es-ES"/>
        </w:rPr>
        <w:t xml:space="preserve">altamente </w:t>
      </w:r>
      <w:r w:rsidRPr="008D7F27">
        <w:rPr>
          <w:lang w:val="es-ES"/>
        </w:rPr>
        <w:t xml:space="preserve">demandado </w:t>
      </w:r>
      <w:r w:rsidR="00B156A7" w:rsidRPr="008D7F27">
        <w:rPr>
          <w:lang w:val="es-ES"/>
        </w:rPr>
        <w:t xml:space="preserve">a nivel internacional </w:t>
      </w:r>
      <w:r w:rsidRPr="008D7F27">
        <w:rPr>
          <w:lang w:val="es-ES"/>
        </w:rPr>
        <w:t xml:space="preserve">o por industrias con expansión esperada en el mediano y largo plazo. Este </w:t>
      </w:r>
      <w:r w:rsidR="00B156A7" w:rsidRPr="008D7F27">
        <w:rPr>
          <w:lang w:val="es-ES"/>
        </w:rPr>
        <w:t xml:space="preserve">tema </w:t>
      </w:r>
      <w:r w:rsidRPr="008D7F27">
        <w:rPr>
          <w:lang w:val="es-ES"/>
        </w:rPr>
        <w:t xml:space="preserve">resulta especialmente </w:t>
      </w:r>
      <w:r w:rsidR="00B156A7" w:rsidRPr="008D7F27">
        <w:rPr>
          <w:lang w:val="es-ES"/>
        </w:rPr>
        <w:t xml:space="preserve">relevante </w:t>
      </w:r>
      <w:r w:rsidRPr="008D7F27">
        <w:rPr>
          <w:lang w:val="es-ES"/>
        </w:rPr>
        <w:t xml:space="preserve">en </w:t>
      </w:r>
      <w:r w:rsidR="00B156A7" w:rsidRPr="008D7F27">
        <w:rPr>
          <w:lang w:val="es-ES"/>
        </w:rPr>
        <w:t xml:space="preserve">los países </w:t>
      </w:r>
      <w:r w:rsidRPr="008D7F27">
        <w:rPr>
          <w:lang w:val="es-ES"/>
        </w:rPr>
        <w:t>de ingresos altos</w:t>
      </w:r>
      <w:r w:rsidR="00B156A7" w:rsidRPr="008D7F27">
        <w:rPr>
          <w:lang w:val="es-ES"/>
        </w:rPr>
        <w:t xml:space="preserve"> analizados</w:t>
      </w:r>
      <w:r w:rsidRPr="008D7F27">
        <w:rPr>
          <w:lang w:val="es-ES"/>
        </w:rPr>
        <w:t xml:space="preserve">, donde lo estratégico se asocia no solo al riesgo actual, sino también a la proyección futura del recurso y a su papel en mercados estratégicos. </w:t>
      </w:r>
    </w:p>
    <w:p w14:paraId="2483C27C" w14:textId="77777777" w:rsidR="003C0322" w:rsidRPr="008D7F27" w:rsidRDefault="16297751">
      <w:pPr>
        <w:pStyle w:val="Prrafodelista"/>
        <w:numPr>
          <w:ilvl w:val="0"/>
          <w:numId w:val="15"/>
        </w:numPr>
        <w:rPr>
          <w:lang w:val="es-ES"/>
        </w:rPr>
      </w:pPr>
      <w:r w:rsidRPr="008D7F27">
        <w:rPr>
          <w:b/>
          <w:lang w:val="es-ES"/>
        </w:rPr>
        <w:t xml:space="preserve">Seguridad nacional y sectores estratégicos: </w:t>
      </w:r>
      <w:r w:rsidR="00C2370D" w:rsidRPr="008D7F27">
        <w:rPr>
          <w:lang w:val="es-ES"/>
        </w:rPr>
        <w:t>s</w:t>
      </w:r>
      <w:r w:rsidRPr="008D7F27">
        <w:rPr>
          <w:lang w:val="es-ES"/>
        </w:rPr>
        <w:t xml:space="preserve">e recomienda </w:t>
      </w:r>
      <w:r w:rsidR="00C2370D" w:rsidRPr="008D7F27">
        <w:rPr>
          <w:lang w:val="es-ES"/>
        </w:rPr>
        <w:t>considerar un</w:t>
      </w:r>
      <w:r w:rsidRPr="008D7F27">
        <w:rPr>
          <w:lang w:val="es-ES"/>
        </w:rPr>
        <w:t xml:space="preserve"> lineamiento </w:t>
      </w:r>
      <w:r w:rsidR="00C2370D" w:rsidRPr="008D7F27">
        <w:rPr>
          <w:lang w:val="es-ES"/>
        </w:rPr>
        <w:t>relacionado con el uso del mineral</w:t>
      </w:r>
      <w:r w:rsidRPr="008D7F27">
        <w:rPr>
          <w:lang w:val="es-ES"/>
        </w:rPr>
        <w:t xml:space="preserve"> </w:t>
      </w:r>
      <w:r w:rsidR="00C2370D" w:rsidRPr="008D7F27">
        <w:rPr>
          <w:lang w:val="es-ES"/>
        </w:rPr>
        <w:t xml:space="preserve">en </w:t>
      </w:r>
      <w:r w:rsidRPr="008D7F27">
        <w:rPr>
          <w:lang w:val="es-ES"/>
        </w:rPr>
        <w:t xml:space="preserve">sectores de interés estratégico para el Estado. El análisis </w:t>
      </w:r>
      <w:r w:rsidR="00C2370D" w:rsidRPr="008D7F27">
        <w:rPr>
          <w:lang w:val="es-ES"/>
        </w:rPr>
        <w:t>realizado</w:t>
      </w:r>
      <w:r w:rsidRPr="008D7F27">
        <w:rPr>
          <w:lang w:val="es-ES"/>
        </w:rPr>
        <w:t xml:space="preserve"> muestra que varios países vinculan la relevancia del mineral con </w:t>
      </w:r>
      <w:r w:rsidR="00C2370D" w:rsidRPr="008D7F27">
        <w:rPr>
          <w:lang w:val="es-ES"/>
        </w:rPr>
        <w:t xml:space="preserve">la </w:t>
      </w:r>
      <w:r w:rsidRPr="008D7F27">
        <w:rPr>
          <w:lang w:val="es-ES"/>
        </w:rPr>
        <w:t xml:space="preserve">seguridad nacional, defensa </w:t>
      </w:r>
      <w:r w:rsidR="00C2370D" w:rsidRPr="008D7F27">
        <w:rPr>
          <w:lang w:val="es-ES"/>
        </w:rPr>
        <w:t>y la</w:t>
      </w:r>
      <w:r w:rsidRPr="008D7F27">
        <w:rPr>
          <w:lang w:val="es-ES"/>
        </w:rPr>
        <w:t xml:space="preserve"> continuidad de funciones esenciales o protección de intereses superiores del Estado. En Colombia, este lineamiento </w:t>
      </w:r>
      <w:r w:rsidR="00C2370D" w:rsidRPr="008D7F27">
        <w:rPr>
          <w:lang w:val="es-ES"/>
        </w:rPr>
        <w:t>se relacionaría con la</w:t>
      </w:r>
      <w:r w:rsidRPr="008D7F27">
        <w:rPr>
          <w:lang w:val="es-ES"/>
        </w:rPr>
        <w:t xml:space="preserve"> valoración de minerales relevantes para sectores esenciales, infraestructura crítica o actividades estratégicas.</w:t>
      </w:r>
    </w:p>
    <w:p w14:paraId="6DC8E1EA" w14:textId="77777777" w:rsidR="00781F5D" w:rsidRPr="008D7F27" w:rsidRDefault="00781F5D">
      <w:pPr>
        <w:pStyle w:val="Prrafodelista"/>
        <w:numPr>
          <w:ilvl w:val="0"/>
          <w:numId w:val="15"/>
        </w:numPr>
        <w:jc w:val="left"/>
        <w:rPr>
          <w:lang w:val="es-ES"/>
        </w:rPr>
      </w:pPr>
      <w:r w:rsidRPr="008D7F27">
        <w:rPr>
          <w:b/>
          <w:lang w:val="es-ES"/>
        </w:rPr>
        <w:t xml:space="preserve">Sustituibilidad, reciclaje y circularidad: </w:t>
      </w:r>
      <w:r w:rsidR="00C2370D" w:rsidRPr="008D7F27">
        <w:rPr>
          <w:lang w:val="es-ES"/>
        </w:rPr>
        <w:t>s</w:t>
      </w:r>
      <w:r w:rsidRPr="008D7F27">
        <w:rPr>
          <w:lang w:val="es-ES"/>
        </w:rPr>
        <w:t xml:space="preserve">e recomienda considerar un </w:t>
      </w:r>
      <w:r w:rsidR="00C2370D" w:rsidRPr="008D7F27">
        <w:rPr>
          <w:lang w:val="es-ES"/>
        </w:rPr>
        <w:t xml:space="preserve">lineamiento </w:t>
      </w:r>
      <w:r w:rsidRPr="008D7F27">
        <w:rPr>
          <w:lang w:val="es-ES"/>
        </w:rPr>
        <w:t>asociado a</w:t>
      </w:r>
      <w:r w:rsidR="00C2370D" w:rsidRPr="008D7F27">
        <w:rPr>
          <w:lang w:val="es-ES"/>
        </w:rPr>
        <w:t xml:space="preserve">l nivel de sustitución del </w:t>
      </w:r>
      <w:r w:rsidRPr="008D7F27">
        <w:rPr>
          <w:lang w:val="es-ES"/>
        </w:rPr>
        <w:t xml:space="preserve">del mineral, así como a la </w:t>
      </w:r>
      <w:r w:rsidR="00C2370D" w:rsidRPr="008D7F27">
        <w:rPr>
          <w:lang w:val="es-ES"/>
        </w:rPr>
        <w:t>posibilidad</w:t>
      </w:r>
      <w:r w:rsidRPr="008D7F27">
        <w:rPr>
          <w:lang w:val="es-ES"/>
        </w:rPr>
        <w:t xml:space="preserve"> de reciclaje, reaprovechamiento o economía </w:t>
      </w:r>
      <w:r w:rsidR="008D7F27" w:rsidRPr="008D7F27">
        <w:rPr>
          <w:lang w:val="es-ES"/>
        </w:rPr>
        <w:t>circular.</w:t>
      </w:r>
      <w:r w:rsidRPr="008D7F27">
        <w:rPr>
          <w:lang w:val="es-ES"/>
        </w:rPr>
        <w:t xml:space="preserve"> Aunque este elemento no </w:t>
      </w:r>
      <w:r w:rsidR="0017000F" w:rsidRPr="008D7F27">
        <w:rPr>
          <w:lang w:val="es-ES"/>
        </w:rPr>
        <w:t>es común en todos los países analizados</w:t>
      </w:r>
      <w:r w:rsidRPr="008D7F27">
        <w:rPr>
          <w:lang w:val="es-ES"/>
        </w:rPr>
        <w:t xml:space="preserve">, resulta recurrente en metodologías y enfoques técnicos internacionales, especialmente cuando se analiza la resiliencia del abastecimiento y la sostenibilidad de la cadena de valor. </w:t>
      </w:r>
    </w:p>
    <w:p w14:paraId="4E8FCA2A" w14:textId="77777777" w:rsidR="005A522F" w:rsidRPr="008D7F27" w:rsidRDefault="27D6009E" w:rsidP="00614B58">
      <w:pPr>
        <w:pStyle w:val="Ttulo1"/>
        <w:jc w:val="both"/>
        <w:rPr>
          <w:lang w:val="es-ES"/>
        </w:rPr>
      </w:pPr>
      <w:bookmarkStart w:id="39" w:name="_Toc229145829"/>
      <w:bookmarkStart w:id="40" w:name="_Toc298770666"/>
      <w:r w:rsidRPr="16F44784">
        <w:rPr>
          <w:lang w:val="es-ES"/>
        </w:rPr>
        <w:lastRenderedPageBreak/>
        <w:t xml:space="preserve">Lineamientos </w:t>
      </w:r>
      <w:r w:rsidR="3EB98F87" w:rsidRPr="16F44784">
        <w:rPr>
          <w:lang w:val="es-ES"/>
        </w:rPr>
        <w:t>propuestos</w:t>
      </w:r>
      <w:r w:rsidRPr="16F44784">
        <w:rPr>
          <w:lang w:val="es-ES"/>
        </w:rPr>
        <w:t xml:space="preserve"> para la determinación de minerales estratégicos para Colombia</w:t>
      </w:r>
      <w:bookmarkEnd w:id="39"/>
      <w:bookmarkEnd w:id="40"/>
    </w:p>
    <w:p w14:paraId="7D4B8658" w14:textId="282055BC" w:rsidR="00210FF1" w:rsidRPr="008D7F27" w:rsidRDefault="6BC0063E" w:rsidP="4D113221">
      <w:pPr>
        <w:rPr>
          <w:lang w:val="es-ES"/>
        </w:rPr>
      </w:pPr>
      <w:r w:rsidRPr="0EFAC22F">
        <w:rPr>
          <w:lang w:val="es-ES"/>
        </w:rPr>
        <w:t xml:space="preserve">A partir del análisis realizado del contexto </w:t>
      </w:r>
      <w:r w:rsidR="6751DA2F" w:rsidRPr="0EFAC22F">
        <w:rPr>
          <w:lang w:val="es-ES"/>
        </w:rPr>
        <w:t>internacional, y</w:t>
      </w:r>
      <w:r w:rsidR="04AA1BF7" w:rsidRPr="0EFAC22F">
        <w:rPr>
          <w:lang w:val="es-ES"/>
        </w:rPr>
        <w:t xml:space="preserve"> considerando las dinámicas propias del sector minero nacional, así</w:t>
      </w:r>
      <w:r w:rsidR="6751DA2F" w:rsidRPr="0EFAC22F">
        <w:rPr>
          <w:lang w:val="es-ES"/>
        </w:rPr>
        <w:t xml:space="preserve"> </w:t>
      </w:r>
      <w:r w:rsidR="04AA1BF7" w:rsidRPr="0EFAC22F">
        <w:rPr>
          <w:lang w:val="es-ES"/>
        </w:rPr>
        <w:t xml:space="preserve">como los objetivos estratégicos de la Política Pública Nacional establecidos en el Plan Nacional de Desarrollo PND 2022- 2026: </w:t>
      </w:r>
      <w:r w:rsidR="2208AACF" w:rsidRPr="0EFAC22F">
        <w:rPr>
          <w:lang w:val="es-ES"/>
        </w:rPr>
        <w:t>“</w:t>
      </w:r>
      <w:r w:rsidR="04AA1BF7" w:rsidRPr="0EFAC22F">
        <w:rPr>
          <w:lang w:val="es-ES"/>
        </w:rPr>
        <w:t>Colombia</w:t>
      </w:r>
      <w:r w:rsidR="5300D130" w:rsidRPr="0EFAC22F">
        <w:rPr>
          <w:lang w:val="es-ES"/>
        </w:rPr>
        <w:t>,</w:t>
      </w:r>
      <w:r w:rsidR="04AA1BF7" w:rsidRPr="0EFAC22F">
        <w:rPr>
          <w:lang w:val="es-ES"/>
        </w:rPr>
        <w:t xml:space="preserve"> Potencial Mundial de la Vida</w:t>
      </w:r>
      <w:r w:rsidR="6879BD59" w:rsidRPr="0EFAC22F">
        <w:rPr>
          <w:lang w:val="es-ES"/>
        </w:rPr>
        <w:t>”</w:t>
      </w:r>
      <w:r w:rsidR="04AA1BF7" w:rsidRPr="0EFAC22F">
        <w:rPr>
          <w:lang w:val="es-ES"/>
        </w:rPr>
        <w:t xml:space="preserve"> y el documento CONPES No. 4123 de 2023</w:t>
      </w:r>
      <w:r w:rsidR="107B6180" w:rsidRPr="0EFAC22F">
        <w:rPr>
          <w:lang w:val="es-ES"/>
        </w:rPr>
        <w:t>:</w:t>
      </w:r>
      <w:r w:rsidR="04AA1BF7" w:rsidRPr="0EFAC22F">
        <w:rPr>
          <w:lang w:val="es-ES"/>
        </w:rPr>
        <w:t xml:space="preserve"> “Política Nacional de Reindustrialización”</w:t>
      </w:r>
      <w:r w:rsidR="6751DA2F" w:rsidRPr="0EFAC22F">
        <w:rPr>
          <w:lang w:val="es-ES"/>
        </w:rPr>
        <w:t xml:space="preserve">, se </w:t>
      </w:r>
      <w:r w:rsidR="7B952639" w:rsidRPr="0EFAC22F">
        <w:rPr>
          <w:lang w:val="es-ES"/>
        </w:rPr>
        <w:t xml:space="preserve">sugiere la adopción </w:t>
      </w:r>
      <w:r w:rsidR="6751DA2F" w:rsidRPr="0EFAC22F">
        <w:rPr>
          <w:lang w:val="es-ES"/>
        </w:rPr>
        <w:t xml:space="preserve">de los </w:t>
      </w:r>
      <w:r w:rsidR="7B952639" w:rsidRPr="0EFAC22F">
        <w:rPr>
          <w:lang w:val="es-ES"/>
        </w:rPr>
        <w:t xml:space="preserve">siguientes </w:t>
      </w:r>
      <w:r w:rsidR="6751DA2F" w:rsidRPr="0EFAC22F">
        <w:rPr>
          <w:lang w:val="es-ES"/>
        </w:rPr>
        <w:t xml:space="preserve">lineamientos </w:t>
      </w:r>
      <w:r w:rsidR="04AA1BF7" w:rsidRPr="0EFAC22F">
        <w:rPr>
          <w:lang w:val="es-ES"/>
        </w:rPr>
        <w:t xml:space="preserve">para </w:t>
      </w:r>
      <w:r w:rsidR="6751DA2F" w:rsidRPr="0EFAC22F">
        <w:rPr>
          <w:lang w:val="es-ES"/>
        </w:rPr>
        <w:t>la determinación de minerales estratégicos en Colombia:</w:t>
      </w:r>
    </w:p>
    <w:p w14:paraId="556DDD0C" w14:textId="4B6A7832" w:rsidR="6F2F126F" w:rsidRPr="008D7F27" w:rsidRDefault="3FFA0E81">
      <w:pPr>
        <w:pStyle w:val="Prrafodelista"/>
        <w:numPr>
          <w:ilvl w:val="0"/>
          <w:numId w:val="7"/>
        </w:numPr>
        <w:rPr>
          <w:lang w:val="es-ES"/>
        </w:rPr>
      </w:pPr>
      <w:r w:rsidRPr="0EFAC22F">
        <w:rPr>
          <w:lang w:val="es-ES"/>
        </w:rPr>
        <w:t>Seguridad de las cadenas de suministro</w:t>
      </w:r>
      <w:r w:rsidR="408C9F3F" w:rsidRPr="0EFAC22F">
        <w:rPr>
          <w:lang w:val="es-ES"/>
        </w:rPr>
        <w:t>.</w:t>
      </w:r>
    </w:p>
    <w:p w14:paraId="72C5F198" w14:textId="77777777" w:rsidR="6F2F126F" w:rsidRPr="008D7F27" w:rsidRDefault="3FFA0E81">
      <w:pPr>
        <w:pStyle w:val="Prrafodelista"/>
        <w:numPr>
          <w:ilvl w:val="0"/>
          <w:numId w:val="7"/>
        </w:numPr>
        <w:rPr>
          <w:lang w:val="es-ES"/>
        </w:rPr>
      </w:pPr>
      <w:r w:rsidRPr="0EFAC22F">
        <w:rPr>
          <w:lang w:val="es-ES"/>
        </w:rPr>
        <w:t>Importancia</w:t>
      </w:r>
      <w:r w:rsidR="6C1934C6" w:rsidRPr="0EFAC22F">
        <w:rPr>
          <w:lang w:val="es-ES"/>
        </w:rPr>
        <w:t xml:space="preserve"> económica</w:t>
      </w:r>
      <w:r w:rsidRPr="0EFAC22F">
        <w:rPr>
          <w:lang w:val="es-ES"/>
        </w:rPr>
        <w:t xml:space="preserve"> y comercial del mineral</w:t>
      </w:r>
      <w:r w:rsidR="7B952639" w:rsidRPr="0EFAC22F">
        <w:rPr>
          <w:lang w:val="es-ES"/>
        </w:rPr>
        <w:t>.</w:t>
      </w:r>
    </w:p>
    <w:p w14:paraId="2ED24510" w14:textId="77777777" w:rsidR="00210FF1" w:rsidRPr="008D7F27" w:rsidRDefault="00210FF1">
      <w:pPr>
        <w:pStyle w:val="Prrafodelista"/>
        <w:numPr>
          <w:ilvl w:val="0"/>
          <w:numId w:val="7"/>
        </w:numPr>
        <w:rPr>
          <w:lang w:val="es-ES"/>
        </w:rPr>
      </w:pPr>
      <w:r w:rsidRPr="008D7F27">
        <w:rPr>
          <w:lang w:val="es-ES"/>
        </w:rPr>
        <w:t>Función productiva, industrial y de infraestructura en el país</w:t>
      </w:r>
      <w:r w:rsidR="00F03CA7" w:rsidRPr="008D7F27">
        <w:rPr>
          <w:lang w:val="es-ES"/>
        </w:rPr>
        <w:t>.</w:t>
      </w:r>
    </w:p>
    <w:p w14:paraId="53B03F6B" w14:textId="77777777" w:rsidR="00210FF1" w:rsidRPr="008D7F27" w:rsidRDefault="00210FF1">
      <w:pPr>
        <w:pStyle w:val="Prrafodelista"/>
        <w:numPr>
          <w:ilvl w:val="0"/>
          <w:numId w:val="7"/>
        </w:numPr>
        <w:rPr>
          <w:lang w:val="es-ES"/>
        </w:rPr>
      </w:pPr>
      <w:r w:rsidRPr="008D7F27">
        <w:rPr>
          <w:lang w:val="es-ES"/>
        </w:rPr>
        <w:t xml:space="preserve">Potencial geológico y </w:t>
      </w:r>
      <w:r w:rsidR="65694F43" w:rsidRPr="008D7F27">
        <w:rPr>
          <w:lang w:val="es-ES"/>
        </w:rPr>
        <w:t>miner</w:t>
      </w:r>
      <w:r w:rsidRPr="008D7F27">
        <w:rPr>
          <w:lang w:val="es-ES"/>
        </w:rPr>
        <w:t>o</w:t>
      </w:r>
      <w:r w:rsidR="00CF2B01" w:rsidRPr="008D7F27">
        <w:rPr>
          <w:lang w:val="es-ES"/>
        </w:rPr>
        <w:t xml:space="preserve"> en Colombia</w:t>
      </w:r>
      <w:r w:rsidR="009A6445" w:rsidRPr="008D7F27">
        <w:rPr>
          <w:lang w:val="es-ES"/>
        </w:rPr>
        <w:t>.</w:t>
      </w:r>
    </w:p>
    <w:p w14:paraId="2B7DC616" w14:textId="77777777" w:rsidR="00210FF1" w:rsidRPr="008D7F27" w:rsidRDefault="008647DA">
      <w:pPr>
        <w:pStyle w:val="Prrafodelista"/>
        <w:numPr>
          <w:ilvl w:val="0"/>
          <w:numId w:val="7"/>
        </w:numPr>
        <w:rPr>
          <w:lang w:val="es-ES"/>
        </w:rPr>
      </w:pPr>
      <w:r w:rsidRPr="008D7F27">
        <w:rPr>
          <w:lang w:val="es-ES"/>
        </w:rPr>
        <w:t>I</w:t>
      </w:r>
      <w:r w:rsidR="00210FF1" w:rsidRPr="008D7F27">
        <w:rPr>
          <w:lang w:val="es-ES"/>
        </w:rPr>
        <w:t>nserción en encadenamientos productivos estratégicos globales</w:t>
      </w:r>
      <w:r w:rsidR="00F03CA7" w:rsidRPr="008D7F27">
        <w:rPr>
          <w:lang w:val="es-ES"/>
        </w:rPr>
        <w:t>.</w:t>
      </w:r>
    </w:p>
    <w:p w14:paraId="13250825" w14:textId="6246C8AE" w:rsidR="160359C7" w:rsidRPr="008D7F27" w:rsidRDefault="2C6C8657">
      <w:pPr>
        <w:pStyle w:val="Prrafodelista"/>
        <w:numPr>
          <w:ilvl w:val="0"/>
          <w:numId w:val="7"/>
        </w:numPr>
        <w:rPr>
          <w:lang w:val="es-ES"/>
        </w:rPr>
      </w:pPr>
      <w:r w:rsidRPr="0EFAC22F">
        <w:rPr>
          <w:lang w:val="es-ES"/>
        </w:rPr>
        <w:t xml:space="preserve">Seguridad </w:t>
      </w:r>
      <w:r w:rsidR="034E808D" w:rsidRPr="0EFAC22F">
        <w:rPr>
          <w:lang w:val="es-ES"/>
        </w:rPr>
        <w:t xml:space="preserve">y soberanía </w:t>
      </w:r>
      <w:r w:rsidRPr="0EFAC22F">
        <w:rPr>
          <w:lang w:val="es-ES"/>
        </w:rPr>
        <w:t>nacional</w:t>
      </w:r>
      <w:r w:rsidR="7B952639" w:rsidRPr="0EFAC22F">
        <w:rPr>
          <w:lang w:val="es-ES"/>
        </w:rPr>
        <w:t>.</w:t>
      </w:r>
    </w:p>
    <w:p w14:paraId="0EB6383B" w14:textId="77777777" w:rsidR="00CF2B01" w:rsidRPr="008D7F27" w:rsidRDefault="00CF2B01" w:rsidP="00CF2B01">
      <w:pPr>
        <w:pStyle w:val="Prrafodelista"/>
        <w:numPr>
          <w:ilvl w:val="0"/>
          <w:numId w:val="7"/>
        </w:numPr>
        <w:rPr>
          <w:lang w:val="es-ES"/>
        </w:rPr>
      </w:pPr>
      <w:r w:rsidRPr="008D7F27">
        <w:rPr>
          <w:lang w:val="es-ES"/>
        </w:rPr>
        <w:t>Determinantes ambientales en el desarrollo minero del país.</w:t>
      </w:r>
    </w:p>
    <w:p w14:paraId="36D5AD39" w14:textId="6E469F63" w:rsidR="0C0BAD0E" w:rsidRDefault="6522DB17" w:rsidP="61048EED">
      <w:pPr>
        <w:pStyle w:val="Prrafodelista"/>
        <w:numPr>
          <w:ilvl w:val="0"/>
          <w:numId w:val="7"/>
        </w:numPr>
        <w:rPr>
          <w:lang w:val="es-ES"/>
        </w:rPr>
      </w:pPr>
      <w:r w:rsidRPr="16F44784">
        <w:rPr>
          <w:color w:val="000000" w:themeColor="text1"/>
          <w:lang w:val="es-ES"/>
        </w:rPr>
        <w:t>Derecho de comunidades étnicas en el desarrollo minero del paí</w:t>
      </w:r>
      <w:r w:rsidR="462A0998" w:rsidRPr="16F44784">
        <w:rPr>
          <w:color w:val="000000" w:themeColor="text1"/>
          <w:lang w:val="es-ES"/>
        </w:rPr>
        <w:t>s.</w:t>
      </w:r>
    </w:p>
    <w:p w14:paraId="7F97D92A" w14:textId="26F11CA5" w:rsidR="00083604" w:rsidRPr="008D7F27" w:rsidRDefault="34632474" w:rsidP="4D113221">
      <w:pPr>
        <w:rPr>
          <w:lang w:val="es-ES"/>
        </w:rPr>
      </w:pPr>
      <w:r w:rsidRPr="0EFAC22F">
        <w:rPr>
          <w:lang w:val="es-ES"/>
        </w:rPr>
        <w:t xml:space="preserve">De manera complementaria, se </w:t>
      </w:r>
      <w:r w:rsidR="5B8841CD" w:rsidRPr="0EFAC22F">
        <w:rPr>
          <w:lang w:val="es-ES"/>
        </w:rPr>
        <w:t xml:space="preserve">presenta a continuación un </w:t>
      </w:r>
      <w:r w:rsidR="79D468C7" w:rsidRPr="11ADDE3F">
        <w:rPr>
          <w:lang w:val="es-ES"/>
        </w:rPr>
        <w:t>conjunto</w:t>
      </w:r>
      <w:r w:rsidRPr="0EFAC22F">
        <w:rPr>
          <w:lang w:val="es-ES"/>
        </w:rPr>
        <w:t xml:space="preserve"> </w:t>
      </w:r>
      <w:r w:rsidR="5B8841CD" w:rsidRPr="0EFAC22F">
        <w:rPr>
          <w:lang w:val="es-ES"/>
        </w:rPr>
        <w:t xml:space="preserve">de </w:t>
      </w:r>
      <w:r w:rsidRPr="0EFAC22F">
        <w:rPr>
          <w:lang w:val="es-ES"/>
        </w:rPr>
        <w:t>variables</w:t>
      </w:r>
      <w:r w:rsidR="5B8841CD" w:rsidRPr="0EFAC22F">
        <w:rPr>
          <w:lang w:val="es-ES"/>
        </w:rPr>
        <w:t xml:space="preserve"> para cada lineamiento</w:t>
      </w:r>
      <w:r w:rsidRPr="0EFAC22F">
        <w:rPr>
          <w:lang w:val="es-ES"/>
        </w:rPr>
        <w:t xml:space="preserve">, </w:t>
      </w:r>
      <w:r w:rsidR="7B952639" w:rsidRPr="0EFAC22F">
        <w:rPr>
          <w:lang w:val="es-ES"/>
        </w:rPr>
        <w:t>acorde con la información disponible sobre</w:t>
      </w:r>
      <w:r w:rsidRPr="0EFAC22F">
        <w:rPr>
          <w:lang w:val="es-ES"/>
        </w:rPr>
        <w:t xml:space="preserve"> condiciones tecnológicas, geopolíticas, industriales, comerciales y de contexto nacional vigentes </w:t>
      </w:r>
      <w:r w:rsidR="5B8841CD" w:rsidRPr="0EFAC22F">
        <w:rPr>
          <w:lang w:val="es-ES"/>
        </w:rPr>
        <w:t>al momento de la evaluación, que podrían considerarse en la definición de la metodología para la actualización de los minerales estratégicos en Colombia que permitan a su vez, actualizar el listado correspondiente.</w:t>
      </w:r>
    </w:p>
    <w:p w14:paraId="7F732720" w14:textId="77777777" w:rsidR="00083604" w:rsidRPr="008D7F27" w:rsidRDefault="00083604" w:rsidP="00083604">
      <w:pPr>
        <w:pStyle w:val="Descripcin"/>
        <w:rPr>
          <w:lang w:val="es-ES"/>
        </w:rPr>
      </w:pPr>
      <w:r w:rsidRPr="008D7F27">
        <w:rPr>
          <w:lang w:val="es-ES"/>
        </w:rPr>
        <w:t xml:space="preserve">Tabla </w:t>
      </w:r>
      <w:r w:rsidRPr="008D7F27">
        <w:rPr>
          <w:lang w:val="es-ES"/>
        </w:rPr>
        <w:fldChar w:fldCharType="begin"/>
      </w:r>
      <w:r w:rsidRPr="008D7F27">
        <w:rPr>
          <w:lang w:val="es-ES"/>
        </w:rPr>
        <w:instrText xml:space="preserve"> SEQ Tabla \* ARABIC </w:instrText>
      </w:r>
      <w:r w:rsidRPr="008D7F27">
        <w:rPr>
          <w:lang w:val="es-ES"/>
        </w:rPr>
        <w:fldChar w:fldCharType="separate"/>
      </w:r>
      <w:r w:rsidR="000E754D">
        <w:rPr>
          <w:noProof/>
          <w:lang w:val="es-ES"/>
        </w:rPr>
        <w:t>6</w:t>
      </w:r>
      <w:r w:rsidRPr="008D7F27">
        <w:rPr>
          <w:lang w:val="es-ES"/>
        </w:rPr>
        <w:fldChar w:fldCharType="end"/>
      </w:r>
      <w:r w:rsidRPr="008D7F27">
        <w:rPr>
          <w:lang w:val="es-ES"/>
        </w:rPr>
        <w:t xml:space="preserve"> </w:t>
      </w:r>
      <w:r w:rsidR="00FA6F4A">
        <w:rPr>
          <w:lang w:val="es-ES"/>
        </w:rPr>
        <w:t>Variables a considerar por lineamiento en la metodología</w:t>
      </w:r>
      <w:r w:rsidRPr="008D7F27">
        <w:rPr>
          <w:lang w:val="es-ES"/>
        </w:rPr>
        <w:t>.</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2"/>
        <w:gridCol w:w="6364"/>
      </w:tblGrid>
      <w:tr w:rsidR="00083604" w:rsidRPr="008D7F27" w14:paraId="3395CFE6" w14:textId="77777777" w:rsidTr="16F44784">
        <w:trPr>
          <w:trHeight w:val="124"/>
          <w:jc w:val="center"/>
        </w:trPr>
        <w:tc>
          <w:tcPr>
            <w:tcW w:w="3452" w:type="dxa"/>
            <w:shd w:val="clear" w:color="auto" w:fill="F2F2F2" w:themeFill="background1" w:themeFillShade="F2"/>
            <w:noWrap/>
            <w:vAlign w:val="center"/>
            <w:hideMark/>
          </w:tcPr>
          <w:p w14:paraId="7FB0F507" w14:textId="77777777" w:rsidR="00083604" w:rsidRPr="008D7F27" w:rsidRDefault="00083604">
            <w:pPr>
              <w:jc w:val="center"/>
              <w:rPr>
                <w:b/>
                <w:lang w:val="es-ES"/>
              </w:rPr>
            </w:pPr>
            <w:r w:rsidRPr="008D7F27">
              <w:rPr>
                <w:b/>
                <w:lang w:val="es-ES"/>
              </w:rPr>
              <w:t>Lineamiento</w:t>
            </w:r>
          </w:p>
        </w:tc>
        <w:tc>
          <w:tcPr>
            <w:tcW w:w="6364" w:type="dxa"/>
            <w:shd w:val="clear" w:color="auto" w:fill="F2F2F2" w:themeFill="background1" w:themeFillShade="F2"/>
            <w:noWrap/>
            <w:vAlign w:val="center"/>
            <w:hideMark/>
          </w:tcPr>
          <w:p w14:paraId="42B4F7DE" w14:textId="77777777" w:rsidR="00083604" w:rsidRPr="008D7F27" w:rsidRDefault="00083604">
            <w:pPr>
              <w:jc w:val="center"/>
              <w:rPr>
                <w:b/>
                <w:lang w:val="es-ES"/>
              </w:rPr>
            </w:pPr>
            <w:r w:rsidRPr="008D7F27">
              <w:rPr>
                <w:b/>
                <w:bCs/>
                <w:lang w:val="es-ES"/>
              </w:rPr>
              <w:t>Variables a</w:t>
            </w:r>
            <w:r w:rsidRPr="008D7F27">
              <w:rPr>
                <w:b/>
                <w:lang w:val="es-ES"/>
              </w:rPr>
              <w:t xml:space="preserve"> considerar en la metodología</w:t>
            </w:r>
          </w:p>
        </w:tc>
      </w:tr>
      <w:tr w:rsidR="00083604" w:rsidRPr="008D7F27" w14:paraId="61E30916" w14:textId="77777777" w:rsidTr="16F44784">
        <w:trPr>
          <w:trHeight w:val="124"/>
          <w:jc w:val="center"/>
        </w:trPr>
        <w:tc>
          <w:tcPr>
            <w:tcW w:w="3452" w:type="dxa"/>
            <w:noWrap/>
            <w:vAlign w:val="center"/>
            <w:hideMark/>
          </w:tcPr>
          <w:p w14:paraId="155572A3" w14:textId="77777777" w:rsidR="00083604" w:rsidRPr="008D7F27" w:rsidRDefault="00083604">
            <w:pPr>
              <w:rPr>
                <w:b/>
                <w:lang w:val="es-ES"/>
              </w:rPr>
            </w:pPr>
            <w:r w:rsidRPr="008D7F27">
              <w:rPr>
                <w:b/>
                <w:lang w:val="es-ES"/>
              </w:rPr>
              <w:t>1. Seguridad de las cadenas de suministro</w:t>
            </w:r>
          </w:p>
        </w:tc>
        <w:tc>
          <w:tcPr>
            <w:tcW w:w="6364" w:type="dxa"/>
            <w:noWrap/>
            <w:vAlign w:val="bottom"/>
            <w:hideMark/>
          </w:tcPr>
          <w:p w14:paraId="0A1BA704" w14:textId="77777777" w:rsidR="00083604" w:rsidRPr="008D7F27" w:rsidRDefault="00083604">
            <w:pPr>
              <w:rPr>
                <w:lang w:val="es-ES"/>
              </w:rPr>
            </w:pPr>
            <w:r w:rsidRPr="008D7F27">
              <w:rPr>
                <w:lang w:val="es-ES"/>
              </w:rPr>
              <w:t xml:space="preserve">Concentración geográfica de la oferta, dependencia de importaciones, interrupciones en cadenas de suministro, restricciones </w:t>
            </w:r>
            <w:r w:rsidR="008D7F27" w:rsidRPr="008D7F27">
              <w:rPr>
                <w:lang w:val="es-ES"/>
              </w:rPr>
              <w:t>comerciales, conflictos</w:t>
            </w:r>
            <w:r w:rsidRPr="008D7F27">
              <w:rPr>
                <w:lang w:val="es-ES"/>
              </w:rPr>
              <w:t xml:space="preserve"> geopolíticos, recursos y reservas minerales, producción nacional, importaciones, consumo aparente, balance entre oferta nacional y demanda interna, capacidad de autosuficiencia.</w:t>
            </w:r>
          </w:p>
        </w:tc>
      </w:tr>
      <w:tr w:rsidR="00083604" w:rsidRPr="008D7F27" w14:paraId="05BBC1B0" w14:textId="77777777" w:rsidTr="16F44784">
        <w:trPr>
          <w:trHeight w:val="124"/>
          <w:jc w:val="center"/>
        </w:trPr>
        <w:tc>
          <w:tcPr>
            <w:tcW w:w="3452" w:type="dxa"/>
            <w:noWrap/>
            <w:vAlign w:val="center"/>
            <w:hideMark/>
          </w:tcPr>
          <w:p w14:paraId="5DE07984" w14:textId="77777777" w:rsidR="00083604" w:rsidRPr="008D7F27" w:rsidRDefault="00083604">
            <w:pPr>
              <w:rPr>
                <w:b/>
                <w:lang w:val="es-ES"/>
              </w:rPr>
            </w:pPr>
            <w:r w:rsidRPr="008D7F27">
              <w:rPr>
                <w:b/>
                <w:lang w:val="es-ES"/>
              </w:rPr>
              <w:t>2. Importancia económica y comercial del mineral</w:t>
            </w:r>
          </w:p>
        </w:tc>
        <w:tc>
          <w:tcPr>
            <w:tcW w:w="6364" w:type="dxa"/>
            <w:noWrap/>
            <w:vAlign w:val="bottom"/>
            <w:hideMark/>
          </w:tcPr>
          <w:p w14:paraId="07A2A5B5" w14:textId="77777777" w:rsidR="00083604" w:rsidRPr="008D7F27" w:rsidRDefault="00083604">
            <w:pPr>
              <w:rPr>
                <w:lang w:val="es-ES"/>
              </w:rPr>
            </w:pPr>
            <w:r w:rsidRPr="008D7F27">
              <w:rPr>
                <w:lang w:val="es-ES"/>
              </w:rPr>
              <w:t>Aporte actual o potencial a la economía, regalías, ingresos fiscales, exportaciones, participación en la actividad económica, efectos macroeconómicos, incidencia en encadenamientos productivos, aporte al sector externo.</w:t>
            </w:r>
          </w:p>
        </w:tc>
      </w:tr>
      <w:tr w:rsidR="00083604" w:rsidRPr="008D7F27" w14:paraId="34A481DC" w14:textId="77777777" w:rsidTr="16F44784">
        <w:trPr>
          <w:trHeight w:val="124"/>
          <w:jc w:val="center"/>
        </w:trPr>
        <w:tc>
          <w:tcPr>
            <w:tcW w:w="3452" w:type="dxa"/>
            <w:noWrap/>
            <w:vAlign w:val="center"/>
            <w:hideMark/>
          </w:tcPr>
          <w:p w14:paraId="0F022181" w14:textId="77777777" w:rsidR="00083604" w:rsidRPr="008D7F27" w:rsidRDefault="00083604">
            <w:pPr>
              <w:rPr>
                <w:b/>
                <w:lang w:val="es-ES"/>
              </w:rPr>
            </w:pPr>
            <w:r w:rsidRPr="008D7F27">
              <w:rPr>
                <w:b/>
                <w:lang w:val="es-ES"/>
              </w:rPr>
              <w:lastRenderedPageBreak/>
              <w:t>3. Función productiva, industrial y de infraestructura en el país</w:t>
            </w:r>
          </w:p>
        </w:tc>
        <w:tc>
          <w:tcPr>
            <w:tcW w:w="6364" w:type="dxa"/>
            <w:noWrap/>
            <w:vAlign w:val="bottom"/>
            <w:hideMark/>
          </w:tcPr>
          <w:p w14:paraId="5FCC1DEA" w14:textId="77777777" w:rsidR="00083604" w:rsidRPr="008D7F27" w:rsidRDefault="00083604">
            <w:pPr>
              <w:rPr>
                <w:lang w:val="es-ES"/>
              </w:rPr>
            </w:pPr>
            <w:r w:rsidRPr="008D7F27">
              <w:rPr>
                <w:lang w:val="es-ES"/>
              </w:rPr>
              <w:t>Uso actual o potencial en industrias estratégicas nacionales, uso en infraestructura pública, relevancia para actividades productivas prioritarias del país, aporte al funcionamiento y desarrollo nacional, dependencia de abastecimiento interno del mineral, capacidad de abastecer sectores esenciales del país.</w:t>
            </w:r>
          </w:p>
        </w:tc>
      </w:tr>
      <w:tr w:rsidR="00083604" w:rsidRPr="008D7F27" w14:paraId="5C5083DC" w14:textId="77777777" w:rsidTr="16F44784">
        <w:trPr>
          <w:trHeight w:val="124"/>
          <w:jc w:val="center"/>
        </w:trPr>
        <w:tc>
          <w:tcPr>
            <w:tcW w:w="3452" w:type="dxa"/>
            <w:noWrap/>
            <w:vAlign w:val="center"/>
            <w:hideMark/>
          </w:tcPr>
          <w:p w14:paraId="2616A552" w14:textId="77777777" w:rsidR="00083604" w:rsidRPr="008D7F27" w:rsidRDefault="00083604">
            <w:pPr>
              <w:rPr>
                <w:b/>
                <w:lang w:val="es-ES"/>
              </w:rPr>
            </w:pPr>
            <w:r w:rsidRPr="008D7F27">
              <w:rPr>
                <w:b/>
                <w:lang w:val="es-ES"/>
              </w:rPr>
              <w:t>4. Potencial geológico y minero en Colombia</w:t>
            </w:r>
          </w:p>
        </w:tc>
        <w:tc>
          <w:tcPr>
            <w:tcW w:w="6364" w:type="dxa"/>
            <w:noWrap/>
            <w:vAlign w:val="bottom"/>
            <w:hideMark/>
          </w:tcPr>
          <w:p w14:paraId="4DD110CE" w14:textId="3FDCBE0D" w:rsidR="00083604" w:rsidRPr="008D7F27" w:rsidRDefault="5B8841CD">
            <w:pPr>
              <w:rPr>
                <w:lang w:val="es-ES"/>
              </w:rPr>
            </w:pPr>
            <w:r w:rsidRPr="0EFAC22F">
              <w:rPr>
                <w:lang w:val="es-ES"/>
              </w:rPr>
              <w:t xml:space="preserve">Potencial geológico: potencial mineral, potencial de exploración, </w:t>
            </w:r>
            <w:r w:rsidR="00083604" w:rsidRPr="0EFAC22F" w:rsidDel="5B8841CD">
              <w:rPr>
                <w:lang w:val="es-ES"/>
              </w:rPr>
              <w:t>probabilidad razonable de producción</w:t>
            </w:r>
            <w:r w:rsidRPr="0EFAC22F">
              <w:rPr>
                <w:lang w:val="es-ES"/>
              </w:rPr>
              <w:t xml:space="preserve">, existencia de ocurrencias, </w:t>
            </w:r>
            <w:r w:rsidR="00083604" w:rsidRPr="0EFAC22F" w:rsidDel="5B8841CD">
              <w:rPr>
                <w:lang w:val="es-ES"/>
              </w:rPr>
              <w:t>recursos o reservas</w:t>
            </w:r>
            <w:r w:rsidRPr="0EFAC22F">
              <w:rPr>
                <w:lang w:val="es-ES"/>
              </w:rPr>
              <w:t xml:space="preserve">. </w:t>
            </w:r>
          </w:p>
          <w:p w14:paraId="687E9CC1" w14:textId="29FC7279" w:rsidR="00083604" w:rsidRPr="008D7F27" w:rsidRDefault="5B8841CD">
            <w:pPr>
              <w:rPr>
                <w:lang w:val="es-ES"/>
              </w:rPr>
            </w:pPr>
            <w:r w:rsidRPr="10ACC318">
              <w:rPr>
                <w:lang w:val="es-ES"/>
              </w:rPr>
              <w:t xml:space="preserve">Potencial minero: </w:t>
            </w:r>
            <w:r w:rsidR="353CD2DF" w:rsidRPr="11ADDE3F">
              <w:rPr>
                <w:lang w:val="es-ES"/>
              </w:rPr>
              <w:t>titulación minera</w:t>
            </w:r>
            <w:r w:rsidRPr="10ACC318">
              <w:rPr>
                <w:lang w:val="es-ES"/>
              </w:rPr>
              <w:t>,</w:t>
            </w:r>
            <w:r w:rsidR="54D80D90" w:rsidRPr="10ACC318">
              <w:rPr>
                <w:lang w:val="es-ES"/>
              </w:rPr>
              <w:t xml:space="preserve"> re</w:t>
            </w:r>
            <w:r w:rsidR="6E912D58" w:rsidRPr="10ACC318">
              <w:rPr>
                <w:lang w:val="es-ES"/>
              </w:rPr>
              <w:t xml:space="preserve">porte de </w:t>
            </w:r>
            <w:r w:rsidR="54D80D90" w:rsidRPr="10ACC318">
              <w:rPr>
                <w:lang w:val="es-ES"/>
              </w:rPr>
              <w:t>recursos y/o reservas minerales,</w:t>
            </w:r>
            <w:r w:rsidRPr="10ACC318">
              <w:rPr>
                <w:lang w:val="es-ES"/>
              </w:rPr>
              <w:t xml:space="preserve"> condiciones para avanzar hacia la explotación de los yacimientos</w:t>
            </w:r>
            <w:r w:rsidR="0328C077" w:rsidRPr="10ACC318">
              <w:rPr>
                <w:lang w:val="es-ES"/>
              </w:rPr>
              <w:t xml:space="preserve"> minerales</w:t>
            </w:r>
            <w:r w:rsidR="1A668E2F" w:rsidRPr="11ADDE3F">
              <w:rPr>
                <w:lang w:val="es-ES"/>
              </w:rPr>
              <w:t xml:space="preserve">, </w:t>
            </w:r>
            <w:r w:rsidR="44B17500" w:rsidRPr="11ADDE3F">
              <w:rPr>
                <w:lang w:val="es-ES"/>
              </w:rPr>
              <w:t>producción mineral</w:t>
            </w:r>
            <w:r w:rsidRPr="10ACC318">
              <w:rPr>
                <w:lang w:val="es-ES"/>
              </w:rPr>
              <w:t xml:space="preserve">. </w:t>
            </w:r>
          </w:p>
        </w:tc>
      </w:tr>
      <w:tr w:rsidR="00083604" w:rsidRPr="008D7F27" w14:paraId="6D20F5D3" w14:textId="77777777" w:rsidTr="16F44784">
        <w:trPr>
          <w:trHeight w:val="124"/>
          <w:jc w:val="center"/>
        </w:trPr>
        <w:tc>
          <w:tcPr>
            <w:tcW w:w="3452" w:type="dxa"/>
            <w:noWrap/>
            <w:vAlign w:val="center"/>
            <w:hideMark/>
          </w:tcPr>
          <w:p w14:paraId="17DF7068" w14:textId="77777777" w:rsidR="00083604" w:rsidRPr="008D7F27" w:rsidRDefault="00083604">
            <w:pPr>
              <w:rPr>
                <w:b/>
                <w:lang w:val="es-ES"/>
              </w:rPr>
            </w:pPr>
            <w:r w:rsidRPr="008D7F27">
              <w:rPr>
                <w:b/>
                <w:lang w:val="es-ES"/>
              </w:rPr>
              <w:t xml:space="preserve">5. Inserción en encadenamientos productivos estratégicos globales  </w:t>
            </w:r>
          </w:p>
        </w:tc>
        <w:tc>
          <w:tcPr>
            <w:tcW w:w="6364" w:type="dxa"/>
            <w:noWrap/>
            <w:vAlign w:val="bottom"/>
            <w:hideMark/>
          </w:tcPr>
          <w:p w14:paraId="71E80551" w14:textId="77777777" w:rsidR="00083604" w:rsidRPr="008D7F27" w:rsidRDefault="00083604">
            <w:pPr>
              <w:rPr>
                <w:lang w:val="es-ES"/>
              </w:rPr>
            </w:pPr>
            <w:r w:rsidRPr="008D7F27">
              <w:rPr>
                <w:lang w:val="es-ES"/>
              </w:rPr>
              <w:t xml:space="preserve">Inserción o uso en encadenamientos productivos relacionados con tecnología, transición </w:t>
            </w:r>
            <w:r w:rsidR="008D7F27" w:rsidRPr="008D7F27">
              <w:rPr>
                <w:lang w:val="es-ES"/>
              </w:rPr>
              <w:t>energética, criticidad</w:t>
            </w:r>
            <w:r w:rsidRPr="008D7F27">
              <w:rPr>
                <w:lang w:val="es-ES"/>
              </w:rPr>
              <w:t xml:space="preserve"> en sectores de economías industrializadas y de alto valor agregado, dinámicas del comercio internacional, vocación exportadora del país.</w:t>
            </w:r>
          </w:p>
        </w:tc>
      </w:tr>
      <w:tr w:rsidR="00083604" w:rsidRPr="008D7F27" w14:paraId="06B117C1" w14:textId="77777777" w:rsidTr="16F44784">
        <w:trPr>
          <w:trHeight w:val="124"/>
          <w:jc w:val="center"/>
        </w:trPr>
        <w:tc>
          <w:tcPr>
            <w:tcW w:w="3452" w:type="dxa"/>
            <w:noWrap/>
            <w:vAlign w:val="center"/>
            <w:hideMark/>
          </w:tcPr>
          <w:p w14:paraId="2483942B" w14:textId="77777777" w:rsidR="00083604" w:rsidRPr="008D7F27" w:rsidRDefault="00083604">
            <w:pPr>
              <w:rPr>
                <w:b/>
                <w:lang w:val="es-ES"/>
              </w:rPr>
            </w:pPr>
            <w:r w:rsidRPr="008D7F27">
              <w:rPr>
                <w:b/>
                <w:lang w:val="es-ES"/>
              </w:rPr>
              <w:t>6. Seguridad y soberanía nacional</w:t>
            </w:r>
          </w:p>
        </w:tc>
        <w:tc>
          <w:tcPr>
            <w:tcW w:w="6364" w:type="dxa"/>
            <w:noWrap/>
            <w:vAlign w:val="bottom"/>
            <w:hideMark/>
          </w:tcPr>
          <w:p w14:paraId="66D7FA7A" w14:textId="77777777" w:rsidR="00083604" w:rsidRPr="008D7F27" w:rsidRDefault="00083604">
            <w:pPr>
              <w:rPr>
                <w:lang w:val="es-ES"/>
              </w:rPr>
            </w:pPr>
            <w:r w:rsidRPr="008D7F27">
              <w:rPr>
                <w:lang w:val="es-ES"/>
              </w:rPr>
              <w:t>Seguridad nacional, defensa, y relación del mineral con situaciones que puedan afectar la seguridad nacional, tal como sucede con la explotación ilícita de minerales.</w:t>
            </w:r>
          </w:p>
        </w:tc>
      </w:tr>
      <w:tr w:rsidR="00083604" w:rsidRPr="008D7F27" w14:paraId="7EC5D8B6" w14:textId="77777777" w:rsidTr="16F44784">
        <w:trPr>
          <w:trHeight w:val="124"/>
          <w:jc w:val="center"/>
        </w:trPr>
        <w:tc>
          <w:tcPr>
            <w:tcW w:w="3452" w:type="dxa"/>
            <w:noWrap/>
          </w:tcPr>
          <w:p w14:paraId="52E8FD23" w14:textId="77777777" w:rsidR="00083604" w:rsidRPr="008D7F27" w:rsidRDefault="00083604">
            <w:pPr>
              <w:rPr>
                <w:b/>
                <w:lang w:val="es-ES"/>
              </w:rPr>
            </w:pPr>
            <w:r w:rsidRPr="008D7F27">
              <w:rPr>
                <w:b/>
                <w:lang w:val="es-ES"/>
              </w:rPr>
              <w:t xml:space="preserve">7. Determinantes ambientales </w:t>
            </w:r>
            <w:r w:rsidRPr="008D7F27">
              <w:rPr>
                <w:b/>
                <w:bCs/>
                <w:lang w:val="es-ES"/>
              </w:rPr>
              <w:t>en el</w:t>
            </w:r>
            <w:r w:rsidRPr="008D7F27">
              <w:rPr>
                <w:b/>
                <w:lang w:val="es-ES"/>
              </w:rPr>
              <w:t xml:space="preserve"> desarrollo minero </w:t>
            </w:r>
            <w:r w:rsidRPr="008D7F27">
              <w:rPr>
                <w:b/>
                <w:bCs/>
                <w:lang w:val="es-ES"/>
              </w:rPr>
              <w:t>del</w:t>
            </w:r>
            <w:r w:rsidRPr="008D7F27">
              <w:rPr>
                <w:b/>
                <w:lang w:val="es-ES"/>
              </w:rPr>
              <w:t xml:space="preserve"> país</w:t>
            </w:r>
          </w:p>
        </w:tc>
        <w:tc>
          <w:tcPr>
            <w:tcW w:w="6364" w:type="dxa"/>
            <w:noWrap/>
          </w:tcPr>
          <w:p w14:paraId="4F440021" w14:textId="5E46A560" w:rsidR="00083604" w:rsidRPr="008D7F27" w:rsidRDefault="00083604">
            <w:pPr>
              <w:rPr>
                <w:highlight w:val="yellow"/>
                <w:lang w:val="es-ES"/>
              </w:rPr>
            </w:pPr>
            <w:r w:rsidRPr="008D7F27">
              <w:rPr>
                <w:lang w:val="es-ES"/>
              </w:rPr>
              <w:t>Restricciones y condicionantes de orden ambiental del territorio, presencia de determinantes ambientales</w:t>
            </w:r>
            <w:r w:rsidR="5DF7E408" w:rsidRPr="11ADDE3F">
              <w:rPr>
                <w:lang w:val="es-ES"/>
              </w:rPr>
              <w:t>,</w:t>
            </w:r>
            <w:r w:rsidRPr="008D7F27">
              <w:rPr>
                <w:lang w:val="es-ES"/>
              </w:rPr>
              <w:t xml:space="preserve"> elementos potencialmente peligrosos para el ambiente y la salud.</w:t>
            </w:r>
          </w:p>
        </w:tc>
      </w:tr>
      <w:tr w:rsidR="61048EED" w14:paraId="40E3D362" w14:textId="77777777" w:rsidTr="16F44784">
        <w:trPr>
          <w:trHeight w:val="124"/>
          <w:jc w:val="center"/>
        </w:trPr>
        <w:tc>
          <w:tcPr>
            <w:tcW w:w="3452" w:type="dxa"/>
            <w:noWrap/>
          </w:tcPr>
          <w:p w14:paraId="2ED46E6E" w14:textId="09F306A6" w:rsidR="61048EED" w:rsidRDefault="57013FF0" w:rsidP="61048EED">
            <w:pPr>
              <w:rPr>
                <w:b/>
                <w:bCs/>
                <w:lang w:val="es-ES"/>
              </w:rPr>
            </w:pPr>
            <w:r w:rsidRPr="16F44784">
              <w:rPr>
                <w:b/>
                <w:bCs/>
                <w:color w:val="000000" w:themeColor="text1"/>
                <w:lang w:val="es-ES"/>
              </w:rPr>
              <w:t xml:space="preserve">8. </w:t>
            </w:r>
            <w:r w:rsidR="7B668FCA" w:rsidRPr="16F44784">
              <w:rPr>
                <w:b/>
                <w:bCs/>
                <w:color w:val="000000" w:themeColor="text1"/>
                <w:lang w:val="es-ES"/>
              </w:rPr>
              <w:t>Derecho de comunidades étnicas en el desarrollo minero del país</w:t>
            </w:r>
          </w:p>
        </w:tc>
        <w:tc>
          <w:tcPr>
            <w:tcW w:w="6364" w:type="dxa"/>
            <w:noWrap/>
          </w:tcPr>
          <w:p w14:paraId="3FE5292F" w14:textId="35EE70E1" w:rsidR="2D1DCF16" w:rsidRDefault="2D1DCF16" w:rsidP="61048EED">
            <w:r w:rsidRPr="61048EED">
              <w:rPr>
                <w:lang w:val="es-ES"/>
              </w:rPr>
              <w:t>Comunidades indígenas, comunidades negras, superposición con territorios étnicos</w:t>
            </w:r>
            <w:r w:rsidR="30E3DB5D" w:rsidRPr="61048EED">
              <w:rPr>
                <w:lang w:val="es-ES"/>
              </w:rPr>
              <w:t xml:space="preserve">, superposición con </w:t>
            </w:r>
            <w:r w:rsidR="3DB45E3D" w:rsidRPr="61048EED">
              <w:rPr>
                <w:lang w:val="es-ES"/>
              </w:rPr>
              <w:t>zonas mineras</w:t>
            </w:r>
            <w:r w:rsidR="68949328" w:rsidRPr="61048EED">
              <w:rPr>
                <w:lang w:val="es-ES"/>
              </w:rPr>
              <w:t xml:space="preserve"> indígenas o de comunidades negras o mixtas declaradas.</w:t>
            </w:r>
          </w:p>
        </w:tc>
      </w:tr>
    </w:tbl>
    <w:p w14:paraId="0717BF72" w14:textId="36068187" w:rsidR="002933F4" w:rsidRPr="004D3668" w:rsidRDefault="00926833">
      <w:pPr>
        <w:pStyle w:val="Fuente"/>
      </w:pPr>
      <w:r w:rsidRPr="004D3668">
        <w:t xml:space="preserve">Fuente: Elaboración propia a partir del análisis del contexto internacional y de </w:t>
      </w:r>
      <w:r w:rsidR="76737653">
        <w:t>su adaptación al contexto colombiano</w:t>
      </w:r>
      <w:r w:rsidRPr="004D3668">
        <w:t>.</w:t>
      </w:r>
    </w:p>
    <w:p w14:paraId="35183F86" w14:textId="41CAF1C7" w:rsidR="00B46D09" w:rsidRPr="008D7F27" w:rsidRDefault="1D176CD6" w:rsidP="008647DA">
      <w:pPr>
        <w:rPr>
          <w:lang w:val="es-ES"/>
        </w:rPr>
      </w:pPr>
      <w:r w:rsidRPr="0EFAC22F">
        <w:rPr>
          <w:lang w:val="es-ES"/>
        </w:rPr>
        <w:t>Acorde con lo anterior</w:t>
      </w:r>
      <w:r w:rsidR="59C618AD" w:rsidRPr="0EFAC22F">
        <w:rPr>
          <w:lang w:val="es-ES"/>
        </w:rPr>
        <w:t xml:space="preserve">, se considera importante adoptar para cada uno de los </w:t>
      </w:r>
      <w:r w:rsidR="61A2D84A" w:rsidRPr="61048EED">
        <w:rPr>
          <w:lang w:val="es-ES"/>
        </w:rPr>
        <w:t>ocho</w:t>
      </w:r>
      <w:r w:rsidR="59C618AD" w:rsidRPr="0EFAC22F">
        <w:rPr>
          <w:lang w:val="es-ES"/>
        </w:rPr>
        <w:t xml:space="preserve"> lineamientos </w:t>
      </w:r>
      <w:r w:rsidRPr="0EFAC22F">
        <w:rPr>
          <w:lang w:val="es-ES"/>
        </w:rPr>
        <w:t>propuestos</w:t>
      </w:r>
      <w:r w:rsidR="59C618AD" w:rsidRPr="0EFAC22F">
        <w:rPr>
          <w:lang w:val="es-ES"/>
        </w:rPr>
        <w:t xml:space="preserve">, un conjunto específico </w:t>
      </w:r>
      <w:r w:rsidR="5598F49D" w:rsidRPr="0EFAC22F">
        <w:rPr>
          <w:lang w:val="es-ES"/>
        </w:rPr>
        <w:t xml:space="preserve">de </w:t>
      </w:r>
      <w:r w:rsidR="59C618AD" w:rsidRPr="0EFAC22F">
        <w:rPr>
          <w:lang w:val="es-ES"/>
        </w:rPr>
        <w:t xml:space="preserve">variables, </w:t>
      </w:r>
      <w:r w:rsidRPr="0EFAC22F">
        <w:rPr>
          <w:lang w:val="es-ES"/>
        </w:rPr>
        <w:t xml:space="preserve">con las cuales será posible evaluar los diferentes minerales a considerar como estratégicos. </w:t>
      </w:r>
    </w:p>
    <w:p w14:paraId="7E49B99D" w14:textId="77777777" w:rsidR="00DE7C36" w:rsidRPr="008D7F27" w:rsidRDefault="00B415E8" w:rsidP="0029311A">
      <w:pPr>
        <w:rPr>
          <w:lang w:val="es-ES"/>
        </w:rPr>
      </w:pPr>
      <w:r w:rsidRPr="008D7F27">
        <w:rPr>
          <w:lang w:val="es-ES"/>
        </w:rPr>
        <w:t xml:space="preserve">A continuación, se relacionan los lineamientos propuestos junto con las variables identificadas y las especificaciones relacionadas, las cuales </w:t>
      </w:r>
      <w:r w:rsidR="00C87BAC" w:rsidRPr="008D7F27">
        <w:rPr>
          <w:lang w:val="es-ES"/>
        </w:rPr>
        <w:t xml:space="preserve">se consideran tener </w:t>
      </w:r>
      <w:r w:rsidRPr="008D7F27">
        <w:rPr>
          <w:lang w:val="es-ES"/>
        </w:rPr>
        <w:t xml:space="preserve">en cuenta en la metodología que se use para la determinación de minerales </w:t>
      </w:r>
      <w:r w:rsidR="00AE6692" w:rsidRPr="008D7F27">
        <w:rPr>
          <w:lang w:val="es-ES"/>
        </w:rPr>
        <w:t>estratégicos</w:t>
      </w:r>
      <w:r w:rsidRPr="008D7F27">
        <w:rPr>
          <w:lang w:val="es-ES"/>
        </w:rPr>
        <w:t xml:space="preserve"> para Colombia. </w:t>
      </w:r>
    </w:p>
    <w:p w14:paraId="6D62B63E" w14:textId="77777777" w:rsidR="0082735F" w:rsidRPr="008D7F27" w:rsidRDefault="0082735F" w:rsidP="0029311A">
      <w:pPr>
        <w:rPr>
          <w:lang w:val="es-ES"/>
        </w:rPr>
      </w:pPr>
      <w:r w:rsidRPr="008D7F27">
        <w:rPr>
          <w:lang w:val="es-ES"/>
        </w:rPr>
        <w:lastRenderedPageBreak/>
        <w:t>Finalmente, para la aplicación de dicha metodología, se recomienda</w:t>
      </w:r>
      <w:r w:rsidR="00C87BAC" w:rsidRPr="008D7F27">
        <w:rPr>
          <w:lang w:val="es-ES"/>
        </w:rPr>
        <w:t xml:space="preserve"> </w:t>
      </w:r>
      <w:r w:rsidRPr="008D7F27">
        <w:rPr>
          <w:lang w:val="es-ES"/>
        </w:rPr>
        <w:t xml:space="preserve">evaluar como mínimo: i) el listado preliminar de minerales </w:t>
      </w:r>
      <w:r w:rsidR="00C87BAC" w:rsidRPr="008D7F27">
        <w:rPr>
          <w:lang w:val="es-ES"/>
        </w:rPr>
        <w:t xml:space="preserve">identificados en el </w:t>
      </w:r>
      <w:r w:rsidRPr="008D7F27">
        <w:rPr>
          <w:lang w:val="es-ES"/>
        </w:rPr>
        <w:t>análisis de C</w:t>
      </w:r>
      <w:r w:rsidR="00C87BAC" w:rsidRPr="008D7F27">
        <w:rPr>
          <w:lang w:val="es-ES"/>
        </w:rPr>
        <w:t xml:space="preserve">ontexto </w:t>
      </w:r>
      <w:r w:rsidRPr="008D7F27">
        <w:rPr>
          <w:lang w:val="es-ES"/>
        </w:rPr>
        <w:t>I</w:t>
      </w:r>
      <w:r w:rsidR="00C87BAC" w:rsidRPr="008D7F27">
        <w:rPr>
          <w:lang w:val="es-ES"/>
        </w:rPr>
        <w:t>ntern</w:t>
      </w:r>
      <w:r w:rsidRPr="008D7F27">
        <w:rPr>
          <w:lang w:val="es-ES"/>
        </w:rPr>
        <w:t>a</w:t>
      </w:r>
      <w:r w:rsidR="00C87BAC" w:rsidRPr="008D7F27">
        <w:rPr>
          <w:lang w:val="es-ES"/>
        </w:rPr>
        <w:t xml:space="preserve">cional </w:t>
      </w:r>
      <w:r w:rsidRPr="008D7F27">
        <w:rPr>
          <w:i/>
          <w:iCs/>
          <w:lang w:val="es-ES"/>
        </w:rPr>
        <w:t>(Tabla 1. del Capítulo 3. Marco metodológico para la actualización de lineamientos)</w:t>
      </w:r>
      <w:r w:rsidRPr="008D7F27">
        <w:rPr>
          <w:lang w:val="es-ES"/>
        </w:rPr>
        <w:t xml:space="preserve"> y ii) el listado vigente de minerales </w:t>
      </w:r>
      <w:r w:rsidR="00C87BAC" w:rsidRPr="008D7F27">
        <w:rPr>
          <w:lang w:val="es-ES"/>
        </w:rPr>
        <w:t xml:space="preserve">estratégicos </w:t>
      </w:r>
      <w:r w:rsidRPr="008D7F27">
        <w:rPr>
          <w:lang w:val="es-ES"/>
        </w:rPr>
        <w:t xml:space="preserve">para Colombia </w:t>
      </w:r>
      <w:r w:rsidRPr="008D7F27">
        <w:rPr>
          <w:i/>
          <w:iCs/>
          <w:lang w:val="es-ES"/>
        </w:rPr>
        <w:t>(R</w:t>
      </w:r>
      <w:r w:rsidR="00C87BAC" w:rsidRPr="008D7F27">
        <w:rPr>
          <w:i/>
          <w:iCs/>
          <w:lang w:val="es-ES"/>
        </w:rPr>
        <w:t>esolución 1006 de 2023</w:t>
      </w:r>
      <w:r w:rsidRPr="008D7F27">
        <w:rPr>
          <w:i/>
          <w:iCs/>
          <w:lang w:val="es-ES"/>
        </w:rPr>
        <w:t>)</w:t>
      </w:r>
      <w:r w:rsidRPr="008D7F27">
        <w:rPr>
          <w:lang w:val="es-ES"/>
        </w:rPr>
        <w:t xml:space="preserve">, </w:t>
      </w:r>
      <w:r w:rsidR="007B2362" w:rsidRPr="008D7F27">
        <w:rPr>
          <w:lang w:val="es-ES"/>
        </w:rPr>
        <w:t>los cuales puedan ser previamente agrupados o filtrados conforme</w:t>
      </w:r>
      <w:r w:rsidR="007B2362" w:rsidRPr="008D7F27">
        <w:rPr>
          <w:rStyle w:val="normaltextrun"/>
          <w:bdr w:val="none" w:sz="0" w:space="0" w:color="auto" w:frame="1"/>
          <w:lang w:val="es-ES"/>
        </w:rPr>
        <w:t xml:space="preserve"> a las particularidades del caso colombiano.</w:t>
      </w:r>
    </w:p>
    <w:p w14:paraId="7EF64C40" w14:textId="77777777" w:rsidR="00DC0EB6" w:rsidRPr="008D7F27" w:rsidRDefault="07C5869E" w:rsidP="00614B58">
      <w:pPr>
        <w:pStyle w:val="Ttulo2"/>
        <w:rPr>
          <w:lang w:val="es-ES"/>
        </w:rPr>
      </w:pPr>
      <w:bookmarkStart w:id="41" w:name="_Toc229145830"/>
      <w:bookmarkStart w:id="42" w:name="_Toc1934727651"/>
      <w:r w:rsidRPr="16F44784">
        <w:rPr>
          <w:lang w:val="es-ES"/>
        </w:rPr>
        <w:t>Seguridad de las cadenas de suministro</w:t>
      </w:r>
      <w:bookmarkEnd w:id="41"/>
      <w:bookmarkEnd w:id="42"/>
      <w:r w:rsidRPr="16F44784">
        <w:rPr>
          <w:lang w:val="es-ES"/>
        </w:rPr>
        <w:t xml:space="preserve">  </w:t>
      </w:r>
    </w:p>
    <w:p w14:paraId="49D82A76" w14:textId="77777777" w:rsidR="587C51E8" w:rsidRPr="008D7F27" w:rsidRDefault="00B415E8" w:rsidP="008647DA">
      <w:pPr>
        <w:rPr>
          <w:lang w:val="es-ES"/>
        </w:rPr>
      </w:pPr>
      <w:r w:rsidRPr="008D7F27">
        <w:rPr>
          <w:lang w:val="es-ES"/>
        </w:rPr>
        <w:t xml:space="preserve">Con el presente </w:t>
      </w:r>
      <w:r w:rsidR="587C51E8" w:rsidRPr="008D7F27">
        <w:rPr>
          <w:lang w:val="es-ES"/>
        </w:rPr>
        <w:t xml:space="preserve">lineamiento se </w:t>
      </w:r>
      <w:r w:rsidRPr="008D7F27">
        <w:rPr>
          <w:lang w:val="es-ES"/>
        </w:rPr>
        <w:t xml:space="preserve">busca </w:t>
      </w:r>
      <w:r w:rsidR="587C51E8" w:rsidRPr="008D7F27">
        <w:rPr>
          <w:lang w:val="es-ES"/>
        </w:rPr>
        <w:t>evaluar la capacidad de Colombia para abastecer su demanda interna de mineral</w:t>
      </w:r>
      <w:r w:rsidRPr="008D7F27">
        <w:rPr>
          <w:lang w:val="es-ES"/>
        </w:rPr>
        <w:t>es</w:t>
      </w:r>
      <w:r w:rsidR="587C51E8" w:rsidRPr="008D7F27">
        <w:rPr>
          <w:lang w:val="es-ES"/>
        </w:rPr>
        <w:t xml:space="preserve"> con </w:t>
      </w:r>
      <w:r w:rsidRPr="008D7F27">
        <w:rPr>
          <w:lang w:val="es-ES"/>
        </w:rPr>
        <w:t xml:space="preserve">su </w:t>
      </w:r>
      <w:r w:rsidR="587C51E8" w:rsidRPr="008D7F27">
        <w:rPr>
          <w:lang w:val="es-ES"/>
        </w:rPr>
        <w:t>producción nacional</w:t>
      </w:r>
      <w:r w:rsidRPr="008D7F27">
        <w:rPr>
          <w:lang w:val="es-ES"/>
        </w:rPr>
        <w:t xml:space="preserve">, así </w:t>
      </w:r>
      <w:r w:rsidR="00C10A0C" w:rsidRPr="008D7F27">
        <w:rPr>
          <w:lang w:val="es-ES"/>
        </w:rPr>
        <w:t>como estimar</w:t>
      </w:r>
      <w:r w:rsidR="587C51E8" w:rsidRPr="008D7F27">
        <w:rPr>
          <w:lang w:val="es-ES"/>
        </w:rPr>
        <w:t xml:space="preserve"> su grado de exposición a restr</w:t>
      </w:r>
      <w:r w:rsidR="196E5431" w:rsidRPr="008D7F27">
        <w:rPr>
          <w:lang w:val="es-ES"/>
        </w:rPr>
        <w:t>icciones exte</w:t>
      </w:r>
      <w:r w:rsidR="587C51E8" w:rsidRPr="008D7F27">
        <w:rPr>
          <w:lang w:val="es-ES"/>
        </w:rPr>
        <w:t xml:space="preserve">rnas de suministro. </w:t>
      </w:r>
      <w:r w:rsidR="6E3DFFA0" w:rsidRPr="008D7F27">
        <w:rPr>
          <w:lang w:val="es-ES"/>
        </w:rPr>
        <w:t>Para este fin, se emplearán indicadores asociados al consumo aparent</w:t>
      </w:r>
      <w:r w:rsidR="007B2362" w:rsidRPr="008D7F27">
        <w:rPr>
          <w:lang w:val="es-ES"/>
        </w:rPr>
        <w:t>e</w:t>
      </w:r>
      <w:r w:rsidR="6E3DFFA0" w:rsidRPr="008D7F27">
        <w:rPr>
          <w:lang w:val="es-ES"/>
        </w:rPr>
        <w:t xml:space="preserve"> y la dependencia de importaciones, </w:t>
      </w:r>
      <w:r w:rsidRPr="008D7F27">
        <w:rPr>
          <w:lang w:val="es-ES"/>
        </w:rPr>
        <w:t xml:space="preserve">lo cual </w:t>
      </w:r>
      <w:r w:rsidR="6E3DFFA0" w:rsidRPr="008D7F27">
        <w:rPr>
          <w:lang w:val="es-ES"/>
        </w:rPr>
        <w:t>permit</w:t>
      </w:r>
      <w:r w:rsidRPr="008D7F27">
        <w:rPr>
          <w:lang w:val="es-ES"/>
        </w:rPr>
        <w:t xml:space="preserve">irá realizar </w:t>
      </w:r>
      <w:r w:rsidR="6E3DFFA0" w:rsidRPr="008D7F27">
        <w:rPr>
          <w:lang w:val="es-ES"/>
        </w:rPr>
        <w:t xml:space="preserve">una </w:t>
      </w:r>
      <w:r w:rsidRPr="008D7F27">
        <w:rPr>
          <w:lang w:val="es-ES"/>
        </w:rPr>
        <w:t>estimación</w:t>
      </w:r>
      <w:r w:rsidR="00E32292" w:rsidRPr="008D7F27">
        <w:rPr>
          <w:lang w:val="es-ES"/>
        </w:rPr>
        <w:t xml:space="preserve"> </w:t>
      </w:r>
      <w:r w:rsidRPr="008D7F27">
        <w:rPr>
          <w:lang w:val="es-ES"/>
        </w:rPr>
        <w:t>del tamaño</w:t>
      </w:r>
      <w:r w:rsidR="6E3DFFA0" w:rsidRPr="008D7F27">
        <w:rPr>
          <w:lang w:val="es-ES"/>
        </w:rPr>
        <w:t xml:space="preserve"> del mercado interno de cada mineral y la proporción </w:t>
      </w:r>
      <w:r w:rsidR="00E32292" w:rsidRPr="008D7F27">
        <w:rPr>
          <w:lang w:val="es-ES"/>
        </w:rPr>
        <w:t xml:space="preserve">que depende </w:t>
      </w:r>
      <w:r w:rsidR="007B2362" w:rsidRPr="008D7F27">
        <w:rPr>
          <w:lang w:val="es-ES"/>
        </w:rPr>
        <w:t xml:space="preserve">de </w:t>
      </w:r>
      <w:r w:rsidR="6E3DFFA0" w:rsidRPr="008D7F27">
        <w:rPr>
          <w:lang w:val="es-ES"/>
        </w:rPr>
        <w:t>compra</w:t>
      </w:r>
      <w:r w:rsidR="00E32292" w:rsidRPr="008D7F27">
        <w:rPr>
          <w:lang w:val="es-ES"/>
        </w:rPr>
        <w:t>s</w:t>
      </w:r>
      <w:r w:rsidR="6E3DFFA0" w:rsidRPr="008D7F27">
        <w:rPr>
          <w:lang w:val="es-ES"/>
        </w:rPr>
        <w:t xml:space="preserve"> al exterior. </w:t>
      </w:r>
    </w:p>
    <w:p w14:paraId="04E1CA69" w14:textId="77777777" w:rsidR="31D20400" w:rsidRPr="008D7F27" w:rsidRDefault="31D20400" w:rsidP="008647DA">
      <w:pPr>
        <w:rPr>
          <w:lang w:val="es-ES"/>
        </w:rPr>
      </w:pPr>
      <w:r w:rsidRPr="008D7F27">
        <w:rPr>
          <w:lang w:val="es-ES"/>
        </w:rPr>
        <w:t xml:space="preserve">Este </w:t>
      </w:r>
      <w:r w:rsidR="007B2362" w:rsidRPr="008D7F27">
        <w:rPr>
          <w:lang w:val="es-ES"/>
        </w:rPr>
        <w:t>a su vez,</w:t>
      </w:r>
      <w:r w:rsidRPr="008D7F27">
        <w:rPr>
          <w:lang w:val="es-ES"/>
        </w:rPr>
        <w:t xml:space="preserve"> parte de reconocer que la importancia estratégica de un mineral, además de su disponibilidad geológica o de producción nacional, también está relacionada con </w:t>
      </w:r>
      <w:r w:rsidR="00E32292" w:rsidRPr="008D7F27">
        <w:rPr>
          <w:lang w:val="es-ES"/>
        </w:rPr>
        <w:t xml:space="preserve">su </w:t>
      </w:r>
      <w:r w:rsidRPr="008D7F27">
        <w:rPr>
          <w:lang w:val="es-ES"/>
        </w:rPr>
        <w:t>producción, importaciones</w:t>
      </w:r>
      <w:r w:rsidR="00E32292" w:rsidRPr="008D7F27">
        <w:rPr>
          <w:lang w:val="es-ES"/>
        </w:rPr>
        <w:t xml:space="preserve"> </w:t>
      </w:r>
      <w:r w:rsidR="00C10A0C" w:rsidRPr="008D7F27">
        <w:rPr>
          <w:lang w:val="es-ES"/>
        </w:rPr>
        <w:t>relacionadas, exportaciones</w:t>
      </w:r>
      <w:r w:rsidRPr="008D7F27">
        <w:rPr>
          <w:lang w:val="es-ES"/>
        </w:rPr>
        <w:t xml:space="preserve"> y el consumo interno. </w:t>
      </w:r>
      <w:r w:rsidR="00E32292" w:rsidRPr="008D7F27">
        <w:rPr>
          <w:lang w:val="es-ES"/>
        </w:rPr>
        <w:t>Por</w:t>
      </w:r>
      <w:r w:rsidRPr="008D7F27">
        <w:rPr>
          <w:lang w:val="es-ES"/>
        </w:rPr>
        <w:t xml:space="preserve"> lo anterior, un mineral puede ser relevante para la seguridad de suministro cuando presenta un consumo aparente significativo y una alta dependencia de importaciones, especialmente si dichas importaciones corresponden a productos intermedios, procesados o finales que son necesarios para las actividades productivas nacionales.</w:t>
      </w:r>
    </w:p>
    <w:p w14:paraId="651ED3F1" w14:textId="7213A93D" w:rsidR="2ECC9F1F" w:rsidRPr="008D7F27" w:rsidRDefault="40666F9C" w:rsidP="008647DA">
      <w:pPr>
        <w:rPr>
          <w:lang w:val="es-ES"/>
        </w:rPr>
      </w:pPr>
      <w:r w:rsidRPr="0EFAC22F">
        <w:rPr>
          <w:lang w:val="es-ES"/>
        </w:rPr>
        <w:t xml:space="preserve">Los datos </w:t>
      </w:r>
      <w:r w:rsidR="79B245D5" w:rsidRPr="0EFAC22F">
        <w:rPr>
          <w:lang w:val="es-ES"/>
        </w:rPr>
        <w:t>disponibles</w:t>
      </w:r>
      <w:r w:rsidR="2ECC9F1F" w:rsidRPr="0EFAC22F" w:rsidDel="79B245D5">
        <w:rPr>
          <w:lang w:val="es-ES"/>
        </w:rPr>
        <w:t xml:space="preserve"> </w:t>
      </w:r>
      <w:r w:rsidR="09D25180" w:rsidRPr="0EFAC22F">
        <w:rPr>
          <w:lang w:val="es-ES"/>
        </w:rPr>
        <w:t xml:space="preserve">de </w:t>
      </w:r>
      <w:r w:rsidR="79B245D5" w:rsidRPr="0EFAC22F">
        <w:rPr>
          <w:lang w:val="es-ES"/>
        </w:rPr>
        <w:t xml:space="preserve">fuentes oficiales, </w:t>
      </w:r>
      <w:r w:rsidR="5F165978" w:rsidRPr="0EFAC22F">
        <w:rPr>
          <w:lang w:val="es-ES"/>
        </w:rPr>
        <w:t>como la</w:t>
      </w:r>
      <w:r w:rsidRPr="0EFAC22F">
        <w:rPr>
          <w:lang w:val="es-ES"/>
        </w:rPr>
        <w:t xml:space="preserve"> Dirección de Impuestos y Aduanas Nacionales (DIAN)</w:t>
      </w:r>
      <w:r w:rsidR="170335D1" w:rsidRPr="0EFAC22F">
        <w:rPr>
          <w:lang w:val="es-ES"/>
        </w:rPr>
        <w:t xml:space="preserve">, </w:t>
      </w:r>
      <w:r w:rsidR="79B245D5" w:rsidRPr="0EFAC22F">
        <w:rPr>
          <w:lang w:val="es-ES"/>
        </w:rPr>
        <w:t xml:space="preserve">Departamento Administrativo Nacional de </w:t>
      </w:r>
      <w:r w:rsidR="65020388" w:rsidRPr="0EFAC22F">
        <w:rPr>
          <w:lang w:val="es-ES"/>
        </w:rPr>
        <w:t>Estadística</w:t>
      </w:r>
      <w:r w:rsidR="79B245D5" w:rsidRPr="0EFAC22F">
        <w:rPr>
          <w:lang w:val="es-ES"/>
        </w:rPr>
        <w:t xml:space="preserve"> (DANE), </w:t>
      </w:r>
      <w:r w:rsidR="170335D1" w:rsidRPr="0EFAC22F">
        <w:rPr>
          <w:lang w:val="es-ES"/>
        </w:rPr>
        <w:t xml:space="preserve">así como </w:t>
      </w:r>
      <w:r w:rsidR="5FD0BF73" w:rsidRPr="0EFAC22F">
        <w:rPr>
          <w:lang w:val="es-ES"/>
        </w:rPr>
        <w:t xml:space="preserve">la Agencia </w:t>
      </w:r>
      <w:r w:rsidR="469CD68F" w:rsidRPr="0EFAC22F">
        <w:rPr>
          <w:lang w:val="es-ES"/>
        </w:rPr>
        <w:t xml:space="preserve">Nacional de Minería (ANM), </w:t>
      </w:r>
      <w:r w:rsidR="79B245D5" w:rsidRPr="0EFAC22F">
        <w:rPr>
          <w:lang w:val="es-ES"/>
        </w:rPr>
        <w:t>entre otras,</w:t>
      </w:r>
      <w:r w:rsidR="469CD68F" w:rsidRPr="0EFAC22F">
        <w:rPr>
          <w:lang w:val="es-ES"/>
        </w:rPr>
        <w:t xml:space="preserve"> permitirán </w:t>
      </w:r>
      <w:r w:rsidR="79B245D5" w:rsidRPr="0EFAC22F">
        <w:rPr>
          <w:lang w:val="es-ES"/>
        </w:rPr>
        <w:t>realizar las estimaciones necesarias.</w:t>
      </w:r>
    </w:p>
    <w:p w14:paraId="6AB5AE6C" w14:textId="77777777" w:rsidR="00DC0EB6" w:rsidRPr="008D7F27" w:rsidRDefault="07C5869E" w:rsidP="00614B58">
      <w:pPr>
        <w:pStyle w:val="Ttulo2"/>
        <w:rPr>
          <w:lang w:val="es-ES"/>
        </w:rPr>
      </w:pPr>
      <w:bookmarkStart w:id="43" w:name="_Toc229145831"/>
      <w:bookmarkStart w:id="44" w:name="_Toc538548810"/>
      <w:r w:rsidRPr="16F44784">
        <w:rPr>
          <w:lang w:val="es-ES"/>
        </w:rPr>
        <w:t>Importancia económica</w:t>
      </w:r>
      <w:r w:rsidR="7D5F04A0" w:rsidRPr="16F44784">
        <w:rPr>
          <w:lang w:val="es-ES"/>
        </w:rPr>
        <w:t xml:space="preserve"> </w:t>
      </w:r>
      <w:r w:rsidRPr="16F44784">
        <w:rPr>
          <w:lang w:val="es-ES"/>
        </w:rPr>
        <w:t>y comercial del mineral</w:t>
      </w:r>
      <w:bookmarkEnd w:id="43"/>
      <w:bookmarkEnd w:id="44"/>
    </w:p>
    <w:p w14:paraId="56F15853" w14:textId="6D3B18C8" w:rsidR="1C53099C" w:rsidRPr="008D7F27" w:rsidRDefault="539F320B" w:rsidP="008647DA">
      <w:pPr>
        <w:rPr>
          <w:lang w:val="es-ES"/>
        </w:rPr>
      </w:pPr>
      <w:r w:rsidRPr="0EFAC22F">
        <w:rPr>
          <w:lang w:val="es-ES"/>
        </w:rPr>
        <w:t>T</w:t>
      </w:r>
      <w:r w:rsidR="1A9519AB" w:rsidRPr="0EFAC22F">
        <w:rPr>
          <w:lang w:val="es-ES"/>
        </w:rPr>
        <w:t>iene por objeto establecer la relevancia de cada mineral</w:t>
      </w:r>
      <w:r w:rsidR="15427794" w:rsidRPr="0EFAC22F">
        <w:rPr>
          <w:lang w:val="es-ES"/>
        </w:rPr>
        <w:t>,</w:t>
      </w:r>
      <w:r w:rsidR="1A9519AB" w:rsidRPr="0EFAC22F">
        <w:rPr>
          <w:lang w:val="es-ES"/>
        </w:rPr>
        <w:t xml:space="preserve"> </w:t>
      </w:r>
      <w:r w:rsidR="5F165978" w:rsidRPr="0EFAC22F">
        <w:rPr>
          <w:lang w:val="es-ES"/>
        </w:rPr>
        <w:t>considerando su</w:t>
      </w:r>
      <w:r w:rsidR="1A9519AB" w:rsidRPr="0EFAC22F">
        <w:rPr>
          <w:lang w:val="es-ES"/>
        </w:rPr>
        <w:t xml:space="preserve"> capacidad de </w:t>
      </w:r>
      <w:r w:rsidR="4D643BF4" w:rsidRPr="0EFAC22F">
        <w:rPr>
          <w:lang w:val="es-ES"/>
        </w:rPr>
        <w:t>aportar</w:t>
      </w:r>
      <w:r w:rsidR="1A9519AB" w:rsidRPr="0EFAC22F">
        <w:rPr>
          <w:lang w:val="es-ES"/>
        </w:rPr>
        <w:t xml:space="preserve"> </w:t>
      </w:r>
      <w:r w:rsidR="4D643BF4" w:rsidRPr="0EFAC22F">
        <w:rPr>
          <w:lang w:val="es-ES"/>
        </w:rPr>
        <w:t xml:space="preserve">a la economía del </w:t>
      </w:r>
      <w:r w:rsidR="007B2362" w:rsidRPr="0EFAC22F" w:rsidDel="4D643BF4">
        <w:rPr>
          <w:lang w:val="es-ES"/>
        </w:rPr>
        <w:t>país</w:t>
      </w:r>
      <w:r w:rsidR="1A9519AB" w:rsidRPr="0EFAC22F">
        <w:rPr>
          <w:lang w:val="es-ES"/>
        </w:rPr>
        <w:t xml:space="preserve"> </w:t>
      </w:r>
      <w:r w:rsidR="4D643BF4" w:rsidRPr="0EFAC22F">
        <w:rPr>
          <w:lang w:val="es-ES"/>
        </w:rPr>
        <w:t xml:space="preserve">ya sea por </w:t>
      </w:r>
      <w:r w:rsidR="1A9519AB" w:rsidRPr="0EFAC22F">
        <w:rPr>
          <w:lang w:val="es-ES"/>
        </w:rPr>
        <w:t>su aporte al comercio exterior</w:t>
      </w:r>
      <w:r w:rsidR="4D643BF4" w:rsidRPr="0EFAC22F">
        <w:rPr>
          <w:lang w:val="es-ES"/>
        </w:rPr>
        <w:t xml:space="preserve">, </w:t>
      </w:r>
      <w:r w:rsidR="6CFAB543" w:rsidRPr="0EFAC22F">
        <w:rPr>
          <w:lang w:val="es-ES"/>
        </w:rPr>
        <w:t xml:space="preserve">o </w:t>
      </w:r>
      <w:r w:rsidR="4D643BF4" w:rsidRPr="0EFAC22F">
        <w:rPr>
          <w:lang w:val="es-ES"/>
        </w:rPr>
        <w:t xml:space="preserve">a </w:t>
      </w:r>
      <w:r w:rsidR="1A9519AB" w:rsidRPr="0EFAC22F">
        <w:rPr>
          <w:lang w:val="es-ES"/>
        </w:rPr>
        <w:t>la actividad productiva</w:t>
      </w:r>
      <w:r w:rsidR="4D643BF4" w:rsidRPr="0EFAC22F">
        <w:rPr>
          <w:lang w:val="es-ES"/>
        </w:rPr>
        <w:t xml:space="preserve"> nacional</w:t>
      </w:r>
      <w:r w:rsidR="1A9519AB" w:rsidRPr="0EFAC22F">
        <w:rPr>
          <w:lang w:val="es-ES"/>
        </w:rPr>
        <w:t xml:space="preserve">. Para este fin, se </w:t>
      </w:r>
      <w:r w:rsidR="4D643BF4" w:rsidRPr="0EFAC22F">
        <w:rPr>
          <w:lang w:val="es-ES"/>
        </w:rPr>
        <w:t xml:space="preserve">tendrá en cuenta información relacionada con su </w:t>
      </w:r>
      <w:r w:rsidR="1A9519AB" w:rsidRPr="0EFAC22F">
        <w:rPr>
          <w:lang w:val="es-ES"/>
        </w:rPr>
        <w:t xml:space="preserve">aporte </w:t>
      </w:r>
      <w:r w:rsidR="4D643BF4" w:rsidRPr="0EFAC22F">
        <w:rPr>
          <w:lang w:val="es-ES"/>
        </w:rPr>
        <w:t xml:space="preserve">a </w:t>
      </w:r>
      <w:r w:rsidR="3C9F73A0" w:rsidRPr="0EFAC22F">
        <w:rPr>
          <w:lang w:val="es-ES"/>
        </w:rPr>
        <w:t xml:space="preserve">las </w:t>
      </w:r>
      <w:r w:rsidR="1A9519AB" w:rsidRPr="0EFAC22F">
        <w:rPr>
          <w:lang w:val="es-ES"/>
        </w:rPr>
        <w:t xml:space="preserve">regalías </w:t>
      </w:r>
      <w:r w:rsidR="4D643BF4" w:rsidRPr="0EFAC22F">
        <w:rPr>
          <w:lang w:val="es-ES"/>
        </w:rPr>
        <w:t>y</w:t>
      </w:r>
      <w:r w:rsidR="1A9519AB" w:rsidRPr="0EFAC22F">
        <w:rPr>
          <w:lang w:val="es-ES"/>
        </w:rPr>
        <w:t xml:space="preserve"> </w:t>
      </w:r>
      <w:r w:rsidR="7C842C41" w:rsidRPr="0EFAC22F">
        <w:rPr>
          <w:lang w:val="es-ES"/>
        </w:rPr>
        <w:t xml:space="preserve">a las </w:t>
      </w:r>
      <w:r w:rsidR="1A9519AB" w:rsidRPr="0EFAC22F">
        <w:rPr>
          <w:lang w:val="es-ES"/>
        </w:rPr>
        <w:t>exportaciones</w:t>
      </w:r>
      <w:r w:rsidR="4D643BF4" w:rsidRPr="0EFAC22F">
        <w:rPr>
          <w:lang w:val="es-ES"/>
        </w:rPr>
        <w:t>, entre otros</w:t>
      </w:r>
      <w:r w:rsidR="1A9519AB" w:rsidRPr="0EFAC22F">
        <w:rPr>
          <w:lang w:val="es-ES"/>
        </w:rPr>
        <w:t xml:space="preserve">. </w:t>
      </w:r>
    </w:p>
    <w:p w14:paraId="03D641FF" w14:textId="16852720" w:rsidR="259B545A" w:rsidRPr="008D7F27" w:rsidRDefault="1C20BC7E" w:rsidP="008647DA">
      <w:pPr>
        <w:rPr>
          <w:lang w:val="es-ES"/>
        </w:rPr>
      </w:pPr>
      <w:r w:rsidRPr="0EFAC22F">
        <w:rPr>
          <w:lang w:val="es-ES"/>
        </w:rPr>
        <w:t xml:space="preserve">Este </w:t>
      </w:r>
      <w:r w:rsidR="0C61B4D0" w:rsidRPr="0EFAC22F">
        <w:rPr>
          <w:lang w:val="es-ES"/>
        </w:rPr>
        <w:t>lineamiento</w:t>
      </w:r>
      <w:r w:rsidRPr="0EFAC22F">
        <w:rPr>
          <w:lang w:val="es-ES"/>
        </w:rPr>
        <w:t xml:space="preserve"> es particularmente pertinente para Colombia, </w:t>
      </w:r>
      <w:r w:rsidR="0C61B4D0" w:rsidRPr="0EFAC22F">
        <w:rPr>
          <w:lang w:val="es-ES"/>
        </w:rPr>
        <w:t>considerando</w:t>
      </w:r>
      <w:r w:rsidRPr="0EFAC22F">
        <w:rPr>
          <w:lang w:val="es-ES"/>
        </w:rPr>
        <w:t xml:space="preserve"> que </w:t>
      </w:r>
      <w:r w:rsidR="0C61B4D0" w:rsidRPr="0EFAC22F">
        <w:rPr>
          <w:lang w:val="es-ES"/>
        </w:rPr>
        <w:t xml:space="preserve">gran </w:t>
      </w:r>
      <w:r w:rsidRPr="0EFAC22F">
        <w:rPr>
          <w:lang w:val="es-ES"/>
        </w:rPr>
        <w:t>parte de su</w:t>
      </w:r>
      <w:r w:rsidR="0C61B4D0" w:rsidRPr="0EFAC22F">
        <w:rPr>
          <w:lang w:val="es-ES"/>
        </w:rPr>
        <w:t xml:space="preserve">s exportaciones mineras corresponde a </w:t>
      </w:r>
      <w:r w:rsidRPr="0EFAC22F">
        <w:rPr>
          <w:lang w:val="es-ES"/>
        </w:rPr>
        <w:t xml:space="preserve">materias primas en bruto o </w:t>
      </w:r>
      <w:r w:rsidR="0C61B4D0" w:rsidRPr="0EFAC22F">
        <w:rPr>
          <w:lang w:val="es-ES"/>
        </w:rPr>
        <w:t xml:space="preserve">productos con </w:t>
      </w:r>
      <w:r w:rsidR="36F6C046" w:rsidRPr="0EFAC22F">
        <w:rPr>
          <w:lang w:val="es-ES"/>
        </w:rPr>
        <w:t xml:space="preserve">un </w:t>
      </w:r>
      <w:r w:rsidRPr="0EFAC22F">
        <w:rPr>
          <w:lang w:val="es-ES"/>
        </w:rPr>
        <w:t xml:space="preserve">bajo nivel de procesamiento, </w:t>
      </w:r>
      <w:r w:rsidR="0C61B4D0" w:rsidRPr="0EFAC22F">
        <w:rPr>
          <w:lang w:val="es-ES"/>
        </w:rPr>
        <w:t xml:space="preserve">y al mismo tiempo, </w:t>
      </w:r>
      <w:r w:rsidR="09F51104" w:rsidRPr="0EFAC22F">
        <w:rPr>
          <w:lang w:val="es-ES"/>
        </w:rPr>
        <w:t xml:space="preserve">se realizan importaciones </w:t>
      </w:r>
      <w:r w:rsidR="259B545A" w:rsidRPr="0EFAC22F" w:rsidDel="0C61B4D0">
        <w:rPr>
          <w:lang w:val="es-ES"/>
        </w:rPr>
        <w:t xml:space="preserve"> </w:t>
      </w:r>
      <w:r w:rsidR="0C61B4D0" w:rsidRPr="0EFAC22F">
        <w:rPr>
          <w:lang w:val="es-ES"/>
        </w:rPr>
        <w:t>de</w:t>
      </w:r>
      <w:r w:rsidRPr="0EFAC22F">
        <w:rPr>
          <w:lang w:val="es-ES"/>
        </w:rPr>
        <w:t xml:space="preserve"> productos intermedios o finales asociados a minerales. En este contexto, </w:t>
      </w:r>
      <w:r w:rsidR="65020388" w:rsidRPr="0EFAC22F">
        <w:rPr>
          <w:lang w:val="es-ES"/>
        </w:rPr>
        <w:t xml:space="preserve">se evidencia </w:t>
      </w:r>
      <w:r w:rsidRPr="0EFAC22F">
        <w:rPr>
          <w:lang w:val="es-ES"/>
        </w:rPr>
        <w:t>una posible fragilidad estructural de la cadena de valor</w:t>
      </w:r>
      <w:r w:rsidR="65020388" w:rsidRPr="0EFAC22F">
        <w:rPr>
          <w:lang w:val="es-ES"/>
        </w:rPr>
        <w:t>, toda vez que las cifras de la balanza comercial colombiana muestran</w:t>
      </w:r>
      <w:r w:rsidRPr="0EFAC22F">
        <w:rPr>
          <w:lang w:val="es-ES"/>
        </w:rPr>
        <w:t xml:space="preserve"> </w:t>
      </w:r>
      <w:r w:rsidR="65020388" w:rsidRPr="0EFAC22F">
        <w:rPr>
          <w:lang w:val="es-ES"/>
        </w:rPr>
        <w:t>cierta dependencia</w:t>
      </w:r>
      <w:r w:rsidRPr="0EFAC22F">
        <w:rPr>
          <w:lang w:val="es-ES"/>
        </w:rPr>
        <w:t xml:space="preserve"> de</w:t>
      </w:r>
      <w:r w:rsidR="65020388" w:rsidRPr="0EFAC22F">
        <w:rPr>
          <w:lang w:val="es-ES"/>
        </w:rPr>
        <w:t xml:space="preserve"> importaciones principalmente de productos con mayor valor agregado, mientras </w:t>
      </w:r>
      <w:r w:rsidR="65020388" w:rsidRPr="0EFAC22F">
        <w:rPr>
          <w:lang w:val="es-ES"/>
        </w:rPr>
        <w:lastRenderedPageBreak/>
        <w:t>que las exportaciones mineras se fundamentan en productos con bajo nivel de transformación.</w:t>
      </w:r>
    </w:p>
    <w:p w14:paraId="4DAE7EF2" w14:textId="6BBD9A24" w:rsidR="04B0DA99" w:rsidRPr="008D7F27" w:rsidRDefault="65020388" w:rsidP="0029311A">
      <w:pPr>
        <w:rPr>
          <w:lang w:val="es-ES"/>
        </w:rPr>
      </w:pPr>
      <w:r w:rsidRPr="0EFAC22F">
        <w:rPr>
          <w:lang w:val="es-ES"/>
        </w:rPr>
        <w:t>Los datos disponibles</w:t>
      </w:r>
      <w:r w:rsidR="00CA4915" w:rsidRPr="0EFAC22F" w:rsidDel="65020388">
        <w:rPr>
          <w:lang w:val="es-ES"/>
        </w:rPr>
        <w:t xml:space="preserve"> </w:t>
      </w:r>
      <w:r w:rsidR="794243FC" w:rsidRPr="0EFAC22F">
        <w:rPr>
          <w:lang w:val="es-ES"/>
        </w:rPr>
        <w:t xml:space="preserve">de </w:t>
      </w:r>
      <w:r w:rsidRPr="0EFAC22F">
        <w:rPr>
          <w:lang w:val="es-ES"/>
        </w:rPr>
        <w:t xml:space="preserve">fuentes oficiales, como la Dirección de Impuestos y Aduanas Nacionales (DIAN), Departamento Administrativo Nacional de Estadística (DANE), así como la Agencia Nacional de Minería (ANM), entre </w:t>
      </w:r>
      <w:r w:rsidR="5F165978" w:rsidRPr="0EFAC22F">
        <w:rPr>
          <w:lang w:val="es-ES"/>
        </w:rPr>
        <w:t>otras, permitirán</w:t>
      </w:r>
      <w:r w:rsidRPr="0EFAC22F">
        <w:rPr>
          <w:lang w:val="es-ES"/>
        </w:rPr>
        <w:t xml:space="preserve"> realizar las estimaciones necesarias acorde con el lineamiento propuesto.</w:t>
      </w:r>
    </w:p>
    <w:p w14:paraId="3A48E34E" w14:textId="77777777" w:rsidR="0029311A" w:rsidRPr="008D7F27" w:rsidRDefault="34E7CC89" w:rsidP="00614B58">
      <w:pPr>
        <w:pStyle w:val="Ttulo2"/>
        <w:rPr>
          <w:lang w:val="es-ES"/>
        </w:rPr>
      </w:pPr>
      <w:bookmarkStart w:id="45" w:name="_Toc229145832"/>
      <w:bookmarkStart w:id="46" w:name="_Toc822840227"/>
      <w:r w:rsidRPr="16F44784">
        <w:rPr>
          <w:lang w:val="es-ES"/>
        </w:rPr>
        <w:t>Función productiva, industrial y de infraestructura en el país</w:t>
      </w:r>
      <w:bookmarkEnd w:id="45"/>
      <w:bookmarkEnd w:id="46"/>
    </w:p>
    <w:p w14:paraId="1944F590" w14:textId="77777777" w:rsidR="00120294" w:rsidRPr="008D7F27" w:rsidRDefault="00143459" w:rsidP="00120294">
      <w:pPr>
        <w:rPr>
          <w:lang w:val="es-ES"/>
        </w:rPr>
      </w:pPr>
      <w:r w:rsidRPr="008D7F27">
        <w:rPr>
          <w:lang w:val="es-ES"/>
        </w:rPr>
        <w:t>E</w:t>
      </w:r>
      <w:r w:rsidR="00120294" w:rsidRPr="008D7F27">
        <w:rPr>
          <w:lang w:val="es-ES"/>
        </w:rPr>
        <w:t>l presente lineamiento</w:t>
      </w:r>
      <w:r w:rsidRPr="008D7F27">
        <w:rPr>
          <w:lang w:val="es-ES"/>
        </w:rPr>
        <w:t xml:space="preserve"> toma</w:t>
      </w:r>
      <w:r w:rsidR="00120294" w:rsidRPr="008D7F27">
        <w:rPr>
          <w:lang w:val="es-ES"/>
        </w:rPr>
        <w:t xml:space="preserve"> como elemento central la función que cumple el mineral frente a las apuestas productivas que el Estado ha priorizado para orientar la transformación económica del país, de manera que la determinación del carácter estratégico para los minerales en Colombia considere su contribución real al desarrollo industrial nacional.</w:t>
      </w:r>
    </w:p>
    <w:p w14:paraId="058D6112" w14:textId="0D0EF9E2" w:rsidR="00120294" w:rsidRPr="008D7F27" w:rsidRDefault="2937358F" w:rsidP="00120294">
      <w:pPr>
        <w:rPr>
          <w:lang w:val="es-ES"/>
        </w:rPr>
      </w:pPr>
      <w:r w:rsidRPr="008D7F27">
        <w:rPr>
          <w:lang w:val="es-ES"/>
        </w:rPr>
        <w:t>Con ese propósito, se propone estructurar el lineamiento a partir de dos variables</w:t>
      </w:r>
      <w:r w:rsidR="3ECBCD64" w:rsidRPr="008D7F27">
        <w:rPr>
          <w:lang w:val="es-ES"/>
        </w:rPr>
        <w:t xml:space="preserve">. </w:t>
      </w:r>
      <w:r w:rsidRPr="008D7F27">
        <w:rPr>
          <w:lang w:val="es-ES"/>
        </w:rPr>
        <w:t xml:space="preserve">La primera variable propuesta examina qué tan articulado está el mineral con cadenas industriales nacionales vinculadas a las apuestas del </w:t>
      </w:r>
      <w:r w:rsidR="17484793" w:rsidRPr="008D7F27">
        <w:rPr>
          <w:lang w:val="es-ES"/>
        </w:rPr>
        <w:t xml:space="preserve">documento </w:t>
      </w:r>
      <w:r w:rsidRPr="008D7F27">
        <w:rPr>
          <w:lang w:val="es-ES"/>
        </w:rPr>
        <w:t>CONPES</w:t>
      </w:r>
      <w:r w:rsidR="6EA812E4" w:rsidRPr="008D7F27">
        <w:rPr>
          <w:lang w:val="es-ES"/>
        </w:rPr>
        <w:t xml:space="preserve"> No.</w:t>
      </w:r>
      <w:r w:rsidRPr="008D7F27">
        <w:rPr>
          <w:lang w:val="es-ES"/>
        </w:rPr>
        <w:t xml:space="preserve"> 4129 de</w:t>
      </w:r>
      <w:r w:rsidR="5AD57A01" w:rsidRPr="008D7F27">
        <w:rPr>
          <w:lang w:val="es-ES"/>
        </w:rPr>
        <w:t xml:space="preserve"> 2023: “Política Nacional de Reindustrialización”</w:t>
      </w:r>
      <w:r w:rsidRPr="008D7F27">
        <w:rPr>
          <w:lang w:val="es-ES"/>
        </w:rPr>
        <w:t xml:space="preserve"> </w:t>
      </w:r>
      <w:sdt>
        <w:sdtPr>
          <w:rPr>
            <w:lang w:val="es-ES"/>
          </w:rPr>
          <w:id w:val="941503955"/>
          <w:citation/>
        </w:sdtPr>
        <w:sdtContent>
          <w:r w:rsidR="00CC55B0">
            <w:rPr>
              <w:lang w:val="es-ES"/>
            </w:rPr>
            <w:fldChar w:fldCharType="begin"/>
          </w:r>
          <w:r w:rsidR="00CC55B0">
            <w:rPr>
              <w:lang w:val="es-419"/>
            </w:rPr>
            <w:instrText xml:space="preserve"> CITATION Dep231 \l 22538 </w:instrText>
          </w:r>
          <w:r w:rsidR="00CC55B0">
            <w:rPr>
              <w:lang w:val="es-ES"/>
            </w:rPr>
            <w:fldChar w:fldCharType="separate"/>
          </w:r>
          <w:r w:rsidR="00E55C2E">
            <w:rPr>
              <w:noProof/>
              <w:lang w:val="es-419"/>
            </w:rPr>
            <w:t>(Departamento Nacional de Planeación, 2023)</w:t>
          </w:r>
          <w:r w:rsidR="00CC55B0">
            <w:rPr>
              <w:lang w:val="es-ES"/>
            </w:rPr>
            <w:fldChar w:fldCharType="end"/>
          </w:r>
        </w:sdtContent>
      </w:sdt>
      <w:r w:rsidRPr="008D7F27">
        <w:rPr>
          <w:lang w:val="es-ES"/>
        </w:rPr>
        <w:t xml:space="preserve">y hasta qué etapa de transformación llega esa cadena </w:t>
      </w:r>
      <w:r w:rsidR="151FC4E7" w:rsidRPr="008D7F27">
        <w:rPr>
          <w:lang w:val="es-ES"/>
        </w:rPr>
        <w:t>a</w:t>
      </w:r>
      <w:r w:rsidR="46A55E62" w:rsidRPr="11ADDE3F">
        <w:rPr>
          <w:lang w:val="es-ES"/>
        </w:rPr>
        <w:t xml:space="preserve"> pa</w:t>
      </w:r>
      <w:r w:rsidR="18E2B03B" w:rsidRPr="11ADDE3F">
        <w:rPr>
          <w:lang w:val="es-ES"/>
        </w:rPr>
        <w:t>r</w:t>
      </w:r>
      <w:r w:rsidR="46A55E62" w:rsidRPr="11ADDE3F">
        <w:rPr>
          <w:lang w:val="es-ES"/>
        </w:rPr>
        <w:t>tir</w:t>
      </w:r>
      <w:r w:rsidR="693BD7E8" w:rsidRPr="008D7F27">
        <w:rPr>
          <w:lang w:val="es-ES"/>
        </w:rPr>
        <w:t xml:space="preserve"> del uso de</w:t>
      </w:r>
      <w:r w:rsidRPr="008D7F27">
        <w:rPr>
          <w:lang w:val="es-ES"/>
        </w:rPr>
        <w:t xml:space="preserve"> mineral</w:t>
      </w:r>
      <w:r w:rsidR="4A446180" w:rsidRPr="008D7F27">
        <w:rPr>
          <w:lang w:val="es-ES"/>
        </w:rPr>
        <w:t>es</w:t>
      </w:r>
      <w:r w:rsidRPr="008D7F27">
        <w:rPr>
          <w:lang w:val="es-ES"/>
        </w:rPr>
        <w:t xml:space="preserve"> de origen colombiano. Las apuestas que define ese documento son </w:t>
      </w:r>
      <w:r w:rsidR="0207CA00">
        <w:rPr>
          <w:lang w:val="es-ES"/>
        </w:rPr>
        <w:t>cuatro</w:t>
      </w:r>
      <w:r w:rsidRPr="008D7F27">
        <w:rPr>
          <w:lang w:val="es-ES"/>
        </w:rPr>
        <w:t xml:space="preserve">: </w:t>
      </w:r>
    </w:p>
    <w:p w14:paraId="1BD19528" w14:textId="6E9403A1" w:rsidR="00120294" w:rsidRPr="008D7F27" w:rsidRDefault="0207CA00" w:rsidP="00120294">
      <w:pPr>
        <w:pStyle w:val="Prrafodelista"/>
        <w:numPr>
          <w:ilvl w:val="0"/>
          <w:numId w:val="1"/>
        </w:numPr>
        <w:rPr>
          <w:lang w:val="es-ES"/>
        </w:rPr>
      </w:pPr>
      <w:r w:rsidRPr="0EFAC22F">
        <w:rPr>
          <w:lang w:val="es-ES"/>
        </w:rPr>
        <w:t xml:space="preserve">La </w:t>
      </w:r>
      <w:r w:rsidR="2937358F" w:rsidRPr="0EFAC22F">
        <w:rPr>
          <w:lang w:val="es-ES"/>
        </w:rPr>
        <w:t xml:space="preserve">transición energética justa; </w:t>
      </w:r>
    </w:p>
    <w:p w14:paraId="5253DA0D" w14:textId="3A96BB1A" w:rsidR="00120294" w:rsidRPr="008D7F27" w:rsidRDefault="00D652D3" w:rsidP="00120294">
      <w:pPr>
        <w:pStyle w:val="Prrafodelista"/>
        <w:numPr>
          <w:ilvl w:val="0"/>
          <w:numId w:val="1"/>
        </w:numPr>
        <w:rPr>
          <w:lang w:val="es-ES"/>
        </w:rPr>
      </w:pPr>
      <w:r>
        <w:rPr>
          <w:lang w:val="es-ES"/>
        </w:rPr>
        <w:t xml:space="preserve">La agroindustria y la </w:t>
      </w:r>
      <w:r w:rsidR="00120294" w:rsidRPr="008D7F27">
        <w:rPr>
          <w:lang w:val="es-ES"/>
        </w:rPr>
        <w:t xml:space="preserve">soberanía alimentaria; </w:t>
      </w:r>
    </w:p>
    <w:p w14:paraId="75E0F93D" w14:textId="14CBD396" w:rsidR="00120294" w:rsidRPr="00D652D3" w:rsidRDefault="30F89DD7" w:rsidP="00D652D3">
      <w:pPr>
        <w:pStyle w:val="Prrafodelista"/>
        <w:numPr>
          <w:ilvl w:val="0"/>
          <w:numId w:val="1"/>
        </w:numPr>
        <w:rPr>
          <w:lang w:val="es-ES"/>
        </w:rPr>
      </w:pPr>
      <w:r w:rsidRPr="11ADDE3F">
        <w:rPr>
          <w:lang w:val="es-ES"/>
        </w:rPr>
        <w:t>L</w:t>
      </w:r>
      <w:r w:rsidR="432E6828" w:rsidRPr="11ADDE3F">
        <w:rPr>
          <w:lang w:val="es-ES"/>
        </w:rPr>
        <w:t>a</w:t>
      </w:r>
      <w:r w:rsidR="0207CA00" w:rsidRPr="0EFAC22F">
        <w:rPr>
          <w:lang w:val="es-ES"/>
        </w:rPr>
        <w:t xml:space="preserve"> reindustrialización a partir del sector de la </w:t>
      </w:r>
      <w:r w:rsidR="2937358F" w:rsidRPr="0EFAC22F">
        <w:rPr>
          <w:lang w:val="es-ES"/>
        </w:rPr>
        <w:t xml:space="preserve">salud; </w:t>
      </w:r>
    </w:p>
    <w:p w14:paraId="10FB55E4" w14:textId="1B6B4527" w:rsidR="00120294" w:rsidRPr="00D652D3" w:rsidRDefault="30994CE5" w:rsidP="00120294">
      <w:pPr>
        <w:pStyle w:val="Prrafodelista"/>
        <w:numPr>
          <w:ilvl w:val="0"/>
          <w:numId w:val="1"/>
        </w:numPr>
        <w:rPr>
          <w:lang w:val="es-ES"/>
        </w:rPr>
      </w:pPr>
      <w:r w:rsidRPr="11ADDE3F">
        <w:rPr>
          <w:lang w:val="es-ES"/>
        </w:rPr>
        <w:t>L</w:t>
      </w:r>
      <w:r w:rsidR="432E6828" w:rsidRPr="11ADDE3F">
        <w:rPr>
          <w:lang w:val="es-ES"/>
        </w:rPr>
        <w:t>a</w:t>
      </w:r>
      <w:r w:rsidR="0207CA00" w:rsidRPr="0EFAC22F">
        <w:rPr>
          <w:lang w:val="es-ES"/>
        </w:rPr>
        <w:t xml:space="preserve"> </w:t>
      </w:r>
      <w:r w:rsidR="2937358F" w:rsidRPr="0EFAC22F">
        <w:rPr>
          <w:lang w:val="es-ES"/>
        </w:rPr>
        <w:t xml:space="preserve">reindustrialización </w:t>
      </w:r>
      <w:r w:rsidR="0207CA00" w:rsidRPr="0EFAC22F">
        <w:rPr>
          <w:lang w:val="es-ES"/>
        </w:rPr>
        <w:t>a partir del sector de la defensa para la vida.</w:t>
      </w:r>
    </w:p>
    <w:p w14:paraId="151AC0F5" w14:textId="77777777" w:rsidR="00120294" w:rsidRPr="008D7F27" w:rsidRDefault="00120294" w:rsidP="00120294">
      <w:pPr>
        <w:rPr>
          <w:lang w:val="es-ES"/>
        </w:rPr>
      </w:pPr>
      <w:r w:rsidRPr="008D7F27">
        <w:rPr>
          <w:lang w:val="es-ES"/>
        </w:rPr>
        <w:t>La segunda variable propuesta examina la dinámica comercial del mineral, poniendo en relación las exportaciones de mineral en bruto con las importaciones de productos derivados o transformados, con el fin de identificar oportunidades de desarrollo industrial nacional, sustitución de importaciones o profundización de sus cadenas productivas.</w:t>
      </w:r>
    </w:p>
    <w:p w14:paraId="3E69222A" w14:textId="77777777" w:rsidR="0029311A" w:rsidRPr="008D7F27" w:rsidRDefault="00120294" w:rsidP="0029311A">
      <w:pPr>
        <w:rPr>
          <w:lang w:val="es-ES"/>
        </w:rPr>
      </w:pPr>
      <w:r w:rsidRPr="008D7F27">
        <w:rPr>
          <w:lang w:val="es-ES"/>
        </w:rPr>
        <w:t>La razón para manejar esta segunda variable dentro del lineamiento de función productiva responde a la conveniencia de complementar la lectura de la articulación industrial existente con una lectura prospectiva sobre dónde existen condiciones para profundizarla, evitando que el criterio quede reducido a un retrato estático de las cadenas ya consolidadas</w:t>
      </w:r>
      <w:r w:rsidR="0029311A" w:rsidRPr="008D7F27">
        <w:rPr>
          <w:lang w:val="es-ES"/>
        </w:rPr>
        <w:t>.</w:t>
      </w:r>
    </w:p>
    <w:p w14:paraId="625070B5" w14:textId="2555BF12" w:rsidR="00DC0EB6" w:rsidRPr="008D7F27" w:rsidRDefault="1CE555D6" w:rsidP="00614B58">
      <w:pPr>
        <w:pStyle w:val="Ttulo2"/>
        <w:rPr>
          <w:lang w:val="es-ES"/>
        </w:rPr>
      </w:pPr>
      <w:bookmarkStart w:id="47" w:name="_Toc229145833"/>
      <w:bookmarkStart w:id="48" w:name="_Toc788771042"/>
      <w:r w:rsidRPr="16F44784">
        <w:rPr>
          <w:lang w:val="es-ES"/>
        </w:rPr>
        <w:t xml:space="preserve">Potencial </w:t>
      </w:r>
      <w:r w:rsidR="25D94447" w:rsidRPr="16F44784">
        <w:rPr>
          <w:lang w:val="es-ES"/>
        </w:rPr>
        <w:t>g</w:t>
      </w:r>
      <w:r w:rsidRPr="16F44784">
        <w:rPr>
          <w:lang w:val="es-ES"/>
        </w:rPr>
        <w:t xml:space="preserve">eológico y </w:t>
      </w:r>
      <w:r w:rsidR="4416AAAD" w:rsidRPr="16F44784">
        <w:rPr>
          <w:lang w:val="es-ES"/>
        </w:rPr>
        <w:t>m</w:t>
      </w:r>
      <w:r w:rsidR="58715CDB" w:rsidRPr="16F44784">
        <w:rPr>
          <w:lang w:val="es-ES"/>
        </w:rPr>
        <w:t xml:space="preserve">inero </w:t>
      </w:r>
      <w:r w:rsidR="3A954C5C" w:rsidRPr="16F44784">
        <w:rPr>
          <w:lang w:val="es-ES"/>
        </w:rPr>
        <w:t>en Colombia</w:t>
      </w:r>
      <w:r w:rsidR="5733B29B" w:rsidRPr="16F44784">
        <w:rPr>
          <w:lang w:val="es-ES"/>
        </w:rPr>
        <w:t>.</w:t>
      </w:r>
      <w:bookmarkEnd w:id="47"/>
      <w:bookmarkEnd w:id="48"/>
      <w:r w:rsidRPr="16F44784">
        <w:rPr>
          <w:lang w:val="es-ES"/>
        </w:rPr>
        <w:t xml:space="preserve"> </w:t>
      </w:r>
    </w:p>
    <w:p w14:paraId="4300CC96" w14:textId="77777777" w:rsidR="3164D7D6" w:rsidRPr="008D7F27" w:rsidRDefault="3164D7D6" w:rsidP="008647DA">
      <w:pPr>
        <w:rPr>
          <w:lang w:val="es-ES"/>
        </w:rPr>
      </w:pPr>
      <w:r w:rsidRPr="008D7F27">
        <w:rPr>
          <w:lang w:val="es-ES"/>
        </w:rPr>
        <w:t xml:space="preserve">El presente lineamiento tiene como objetivo </w:t>
      </w:r>
      <w:r w:rsidR="00402810" w:rsidRPr="008D7F27">
        <w:rPr>
          <w:lang w:val="es-ES"/>
        </w:rPr>
        <w:t xml:space="preserve">determinar </w:t>
      </w:r>
      <w:r w:rsidRPr="008D7F27">
        <w:rPr>
          <w:lang w:val="es-ES"/>
        </w:rPr>
        <w:t xml:space="preserve">el potencial geológico y minero de los minerales </w:t>
      </w:r>
      <w:r w:rsidR="00402810" w:rsidRPr="008D7F27">
        <w:rPr>
          <w:lang w:val="es-ES"/>
        </w:rPr>
        <w:t>a considerar como estratégicos para Colombia</w:t>
      </w:r>
      <w:r w:rsidRPr="008D7F27">
        <w:rPr>
          <w:lang w:val="es-ES"/>
        </w:rPr>
        <w:t xml:space="preserve">. </w:t>
      </w:r>
      <w:r w:rsidR="5B2DBE8D" w:rsidRPr="008D7F27">
        <w:rPr>
          <w:lang w:val="es-ES"/>
        </w:rPr>
        <w:t>E</w:t>
      </w:r>
      <w:r w:rsidR="46E3D89F" w:rsidRPr="008D7F27">
        <w:rPr>
          <w:lang w:val="es-ES"/>
        </w:rPr>
        <w:t xml:space="preserve">n la </w:t>
      </w:r>
      <w:r w:rsidR="46E3D89F" w:rsidRPr="008D7F27">
        <w:rPr>
          <w:lang w:val="es-ES"/>
        </w:rPr>
        <w:lastRenderedPageBreak/>
        <w:t xml:space="preserve">aplicación de este criterio, se evalúan dos variables fundamentales que reflejan el potencial geológico y minero de los minerales </w:t>
      </w:r>
      <w:r w:rsidR="00402810" w:rsidRPr="008D7F27">
        <w:rPr>
          <w:lang w:val="es-ES"/>
        </w:rPr>
        <w:t>a considerar</w:t>
      </w:r>
      <w:r w:rsidR="46E3D89F" w:rsidRPr="008D7F27">
        <w:rPr>
          <w:lang w:val="es-ES"/>
        </w:rPr>
        <w:t>:</w:t>
      </w:r>
    </w:p>
    <w:p w14:paraId="10B56180" w14:textId="48242D8F" w:rsidR="3164D7D6" w:rsidRPr="008D7F27" w:rsidRDefault="6C1934C6" w:rsidP="008647DA">
      <w:pPr>
        <w:rPr>
          <w:lang w:val="es-ES"/>
        </w:rPr>
      </w:pPr>
      <w:r w:rsidRPr="0EFAC22F">
        <w:rPr>
          <w:lang w:val="es-ES"/>
        </w:rPr>
        <w:t xml:space="preserve">La variable </w:t>
      </w:r>
      <w:r w:rsidR="4C5CB490" w:rsidRPr="0EFAC22F">
        <w:rPr>
          <w:lang w:val="es-ES"/>
        </w:rPr>
        <w:t>Potencial Geológico</w:t>
      </w:r>
      <w:r w:rsidRPr="0EFAC22F">
        <w:rPr>
          <w:lang w:val="es-ES"/>
        </w:rPr>
        <w:t>,</w:t>
      </w:r>
      <w:r w:rsidR="62102024" w:rsidRPr="0EFAC22F">
        <w:rPr>
          <w:lang w:val="es-ES"/>
        </w:rPr>
        <w:t xml:space="preserve"> se enfoca en el estado del conocimiento geocientífico y tiene como objetivo e</w:t>
      </w:r>
      <w:r w:rsidR="10F86D27" w:rsidRPr="0EFAC22F">
        <w:rPr>
          <w:lang w:val="es-ES"/>
        </w:rPr>
        <w:t>valu</w:t>
      </w:r>
      <w:r w:rsidR="62102024" w:rsidRPr="0EFAC22F">
        <w:rPr>
          <w:lang w:val="es-ES"/>
        </w:rPr>
        <w:t xml:space="preserve">ar la probabilidad </w:t>
      </w:r>
      <w:r w:rsidR="68E98133" w:rsidRPr="0EFAC22F">
        <w:rPr>
          <w:lang w:val="es-ES"/>
        </w:rPr>
        <w:t xml:space="preserve">(o potencialidad) </w:t>
      </w:r>
      <w:r w:rsidR="62102024" w:rsidRPr="0EFAC22F">
        <w:rPr>
          <w:lang w:val="es-ES"/>
        </w:rPr>
        <w:t>de que determinados depósitos minerales se hospeden en el territorio colombiano</w:t>
      </w:r>
      <w:r w:rsidR="4C5CB490" w:rsidRPr="0EFAC22F">
        <w:rPr>
          <w:lang w:val="es-ES"/>
        </w:rPr>
        <w:t xml:space="preserve">. </w:t>
      </w:r>
      <w:r w:rsidR="097A7D10" w:rsidRPr="0EFAC22F">
        <w:rPr>
          <w:lang w:val="es-ES"/>
        </w:rPr>
        <w:t>Tal</w:t>
      </w:r>
      <w:r w:rsidR="4C5CB490" w:rsidRPr="0EFAC22F">
        <w:rPr>
          <w:lang w:val="es-ES"/>
        </w:rPr>
        <w:t xml:space="preserve"> evaluación </w:t>
      </w:r>
      <w:r w:rsidR="63D800F5" w:rsidRPr="0EFAC22F">
        <w:rPr>
          <w:lang w:val="es-ES"/>
        </w:rPr>
        <w:t>co</w:t>
      </w:r>
      <w:r w:rsidR="4C5CB490" w:rsidRPr="0EFAC22F">
        <w:rPr>
          <w:lang w:val="es-ES"/>
        </w:rPr>
        <w:t>n</w:t>
      </w:r>
      <w:r w:rsidR="63D800F5" w:rsidRPr="0EFAC22F">
        <w:rPr>
          <w:lang w:val="es-ES"/>
        </w:rPr>
        <w:t>templa</w:t>
      </w:r>
      <w:r w:rsidR="4C5CB490" w:rsidRPr="0EFAC22F">
        <w:rPr>
          <w:lang w:val="es-ES"/>
        </w:rPr>
        <w:t xml:space="preserve"> </w:t>
      </w:r>
      <w:r w:rsidR="4F44A73D" w:rsidRPr="0EFAC22F">
        <w:rPr>
          <w:lang w:val="es-ES"/>
        </w:rPr>
        <w:t xml:space="preserve">el </w:t>
      </w:r>
      <w:r w:rsidR="4C5CB490" w:rsidRPr="0EFAC22F">
        <w:rPr>
          <w:lang w:val="es-ES"/>
        </w:rPr>
        <w:t xml:space="preserve">análisis </w:t>
      </w:r>
      <w:r w:rsidR="6AC69337" w:rsidRPr="0EFAC22F">
        <w:rPr>
          <w:lang w:val="es-ES"/>
        </w:rPr>
        <w:t xml:space="preserve">de </w:t>
      </w:r>
      <w:r w:rsidR="5A738D21" w:rsidRPr="0EFAC22F">
        <w:rPr>
          <w:lang w:val="es-ES"/>
        </w:rPr>
        <w:t xml:space="preserve">la información disponible relacionada principalmente con datos geológicos, </w:t>
      </w:r>
      <w:r w:rsidR="4C5CB490" w:rsidRPr="0EFAC22F">
        <w:rPr>
          <w:lang w:val="es-ES"/>
        </w:rPr>
        <w:t>geoquímic</w:t>
      </w:r>
      <w:r w:rsidR="5A738D21" w:rsidRPr="0EFAC22F">
        <w:rPr>
          <w:lang w:val="es-ES"/>
        </w:rPr>
        <w:t>os</w:t>
      </w:r>
      <w:r w:rsidR="4C5CB490" w:rsidRPr="0EFAC22F">
        <w:rPr>
          <w:lang w:val="es-ES"/>
        </w:rPr>
        <w:t xml:space="preserve"> y metalogénic</w:t>
      </w:r>
      <w:r w:rsidR="5A738D21" w:rsidRPr="0EFAC22F">
        <w:rPr>
          <w:lang w:val="es-ES"/>
        </w:rPr>
        <w:t>os</w:t>
      </w:r>
      <w:r w:rsidR="4C5CB490" w:rsidRPr="0EFAC22F">
        <w:rPr>
          <w:lang w:val="es-ES"/>
        </w:rPr>
        <w:t>. Este enfoque permite representar de manera integral la importancia de los recursos minerales, tanto metálicos como no metálicos.</w:t>
      </w:r>
    </w:p>
    <w:p w14:paraId="196A1829" w14:textId="4BB8454E" w:rsidR="008647DA" w:rsidRPr="008D7F27" w:rsidRDefault="5A738D21" w:rsidP="008647DA">
      <w:pPr>
        <w:rPr>
          <w:lang w:val="es-ES"/>
        </w:rPr>
      </w:pPr>
      <w:r w:rsidRPr="0EFAC22F">
        <w:rPr>
          <w:lang w:val="es-ES"/>
        </w:rPr>
        <w:t>Con l</w:t>
      </w:r>
      <w:r w:rsidR="6C1934C6" w:rsidRPr="0EFAC22F">
        <w:rPr>
          <w:lang w:val="es-ES"/>
        </w:rPr>
        <w:t xml:space="preserve">a </w:t>
      </w:r>
      <w:r w:rsidRPr="0EFAC22F">
        <w:rPr>
          <w:lang w:val="es-ES"/>
        </w:rPr>
        <w:t xml:space="preserve">variable </w:t>
      </w:r>
      <w:r w:rsidR="6C1934C6" w:rsidRPr="0EFAC22F">
        <w:rPr>
          <w:lang w:val="es-ES"/>
        </w:rPr>
        <w:t>Potencial Minero,</w:t>
      </w:r>
      <w:r w:rsidR="73317385" w:rsidRPr="0EFAC22F">
        <w:rPr>
          <w:lang w:val="es-ES"/>
        </w:rPr>
        <w:t xml:space="preserve"> </w:t>
      </w:r>
      <w:r w:rsidRPr="0EFAC22F">
        <w:rPr>
          <w:lang w:val="es-ES"/>
        </w:rPr>
        <w:t xml:space="preserve">se busca determinar la </w:t>
      </w:r>
      <w:r w:rsidR="73317385" w:rsidRPr="0EFAC22F">
        <w:rPr>
          <w:lang w:val="es-ES"/>
        </w:rPr>
        <w:t>situación actual de los proyectos mineros en Colombia</w:t>
      </w:r>
      <w:r w:rsidRPr="0EFAC22F">
        <w:rPr>
          <w:lang w:val="es-ES"/>
        </w:rPr>
        <w:t xml:space="preserve">, con el fin de establecer la probabilidad de incrementar la producción de los minerales a determinar </w:t>
      </w:r>
      <w:r w:rsidR="787D0E08" w:rsidRPr="11ADDE3F">
        <w:rPr>
          <w:lang w:val="es-ES"/>
        </w:rPr>
        <w:t>cómo</w:t>
      </w:r>
      <w:r w:rsidRPr="0EFAC22F">
        <w:rPr>
          <w:lang w:val="es-ES"/>
        </w:rPr>
        <w:t xml:space="preserve"> estratégicos en el país</w:t>
      </w:r>
      <w:r w:rsidR="7A54CF8A" w:rsidRPr="0EFAC22F">
        <w:rPr>
          <w:lang w:val="es-ES"/>
        </w:rPr>
        <w:t>.</w:t>
      </w:r>
      <w:r w:rsidR="51A51B4F" w:rsidRPr="0EFAC22F">
        <w:rPr>
          <w:lang w:val="es-ES"/>
        </w:rPr>
        <w:t xml:space="preserve"> </w:t>
      </w:r>
      <w:r w:rsidR="7A54CF8A" w:rsidRPr="0EFAC22F">
        <w:rPr>
          <w:lang w:val="es-ES"/>
        </w:rPr>
        <w:t>Para ello s</w:t>
      </w:r>
      <w:r w:rsidR="3A95A1CF" w:rsidRPr="0EFAC22F">
        <w:rPr>
          <w:lang w:val="es-ES"/>
        </w:rPr>
        <w:t xml:space="preserve">e evalúa la existencia de proyectos en </w:t>
      </w:r>
      <w:r w:rsidRPr="0EFAC22F">
        <w:rPr>
          <w:lang w:val="es-ES"/>
        </w:rPr>
        <w:t xml:space="preserve">las diferentes </w:t>
      </w:r>
      <w:r w:rsidR="3A95A1CF" w:rsidRPr="0EFAC22F">
        <w:rPr>
          <w:lang w:val="es-ES"/>
        </w:rPr>
        <w:t>fases</w:t>
      </w:r>
      <w:r w:rsidRPr="0EFAC22F">
        <w:rPr>
          <w:lang w:val="es-ES"/>
        </w:rPr>
        <w:t xml:space="preserve"> del ciclo minero relacionados con los minerales a considerar</w:t>
      </w:r>
      <w:r w:rsidR="1B06E103" w:rsidRPr="11ADDE3F">
        <w:rPr>
          <w:lang w:val="es-ES"/>
        </w:rPr>
        <w:t>.</w:t>
      </w:r>
      <w:r w:rsidR="3A95A1CF" w:rsidRPr="0EFAC22F">
        <w:rPr>
          <w:lang w:val="es-ES"/>
        </w:rPr>
        <w:t xml:space="preserve"> </w:t>
      </w:r>
    </w:p>
    <w:p w14:paraId="162D9A44" w14:textId="77777777" w:rsidR="3164D7D6" w:rsidRPr="008D7F27" w:rsidRDefault="3164D7D6" w:rsidP="008647DA">
      <w:pPr>
        <w:rPr>
          <w:lang w:val="es-ES"/>
        </w:rPr>
      </w:pPr>
      <w:r w:rsidRPr="008D7F27">
        <w:rPr>
          <w:lang w:val="es-ES"/>
        </w:rPr>
        <w:t>A</w:t>
      </w:r>
      <w:r w:rsidR="03C7A670" w:rsidRPr="008D7F27">
        <w:rPr>
          <w:lang w:val="es-ES"/>
        </w:rPr>
        <w:t>sí mismo</w:t>
      </w:r>
      <w:r w:rsidRPr="008D7F27">
        <w:rPr>
          <w:lang w:val="es-ES"/>
        </w:rPr>
        <w:t xml:space="preserve">, se </w:t>
      </w:r>
      <w:r w:rsidR="00402810" w:rsidRPr="008D7F27">
        <w:rPr>
          <w:lang w:val="es-ES"/>
        </w:rPr>
        <w:t xml:space="preserve">considera la información disponible relacionada con </w:t>
      </w:r>
      <w:r w:rsidRPr="008D7F27">
        <w:rPr>
          <w:lang w:val="es-ES"/>
        </w:rPr>
        <w:t xml:space="preserve">reportes sobre recursos y reservas minerales </w:t>
      </w:r>
      <w:r w:rsidR="00402810" w:rsidRPr="008D7F27">
        <w:rPr>
          <w:lang w:val="es-ES"/>
        </w:rPr>
        <w:t>bajo</w:t>
      </w:r>
      <w:r w:rsidR="00A06B5B" w:rsidRPr="008D7F27">
        <w:rPr>
          <w:lang w:val="es-ES"/>
        </w:rPr>
        <w:t xml:space="preserve"> el</w:t>
      </w:r>
      <w:r w:rsidR="00402810" w:rsidRPr="008D7F27">
        <w:rPr>
          <w:lang w:val="es-ES"/>
        </w:rPr>
        <w:t xml:space="preserve"> estándar CRIRSCO </w:t>
      </w:r>
      <w:r w:rsidR="00A06B5B" w:rsidRPr="008D7F27">
        <w:rPr>
          <w:lang w:val="es-ES"/>
        </w:rPr>
        <w:t xml:space="preserve">(Comité de Normas Internacionales para la Presentación de Informes sobre Reservas Minerales) </w:t>
      </w:r>
      <w:r w:rsidRPr="008D7F27">
        <w:rPr>
          <w:lang w:val="es-ES"/>
        </w:rPr>
        <w:t>relacionados con estos proyectos</w:t>
      </w:r>
      <w:r w:rsidR="00A06B5B" w:rsidRPr="008D7F27">
        <w:rPr>
          <w:lang w:val="es-ES"/>
        </w:rPr>
        <w:t xml:space="preserve">, e información disponible sobre lo volúmenes explotados en los proyectos </w:t>
      </w:r>
      <w:r w:rsidR="00C10A0C" w:rsidRPr="008D7F27">
        <w:rPr>
          <w:lang w:val="es-ES"/>
        </w:rPr>
        <w:t>relacionados</w:t>
      </w:r>
      <w:r w:rsidR="00C10A0C">
        <w:rPr>
          <w:lang w:val="es-ES"/>
        </w:rPr>
        <w:t>.</w:t>
      </w:r>
    </w:p>
    <w:p w14:paraId="6E83CD1C" w14:textId="77777777" w:rsidR="00DC0EB6" w:rsidRPr="008D7F27" w:rsidRDefault="2CF96953" w:rsidP="00614B58">
      <w:pPr>
        <w:pStyle w:val="Ttulo2"/>
        <w:rPr>
          <w:lang w:val="es-ES"/>
        </w:rPr>
      </w:pPr>
      <w:bookmarkStart w:id="49" w:name="_Toc229145834"/>
      <w:bookmarkStart w:id="50" w:name="_Toc394035919"/>
      <w:r w:rsidRPr="16F44784">
        <w:rPr>
          <w:lang w:val="es-ES"/>
        </w:rPr>
        <w:t>I</w:t>
      </w:r>
      <w:r w:rsidR="1CE555D6" w:rsidRPr="16F44784">
        <w:rPr>
          <w:lang w:val="es-ES"/>
        </w:rPr>
        <w:t>nserción en encadenamientos productivos estratégicos globales</w:t>
      </w:r>
      <w:bookmarkEnd w:id="49"/>
      <w:bookmarkEnd w:id="50"/>
    </w:p>
    <w:p w14:paraId="5160A408" w14:textId="77777777" w:rsidR="47480887" w:rsidRPr="008D7F27" w:rsidRDefault="00A06B5B" w:rsidP="008647DA">
      <w:pPr>
        <w:rPr>
          <w:lang w:val="es-ES"/>
        </w:rPr>
      </w:pPr>
      <w:r w:rsidRPr="008D7F27">
        <w:rPr>
          <w:lang w:val="es-ES"/>
        </w:rPr>
        <w:t>Para establecer l</w:t>
      </w:r>
      <w:r w:rsidR="47480887" w:rsidRPr="008D7F27">
        <w:rPr>
          <w:lang w:val="es-ES"/>
        </w:rPr>
        <w:t xml:space="preserve">a capacidad de inserción de los minerales </w:t>
      </w:r>
      <w:r w:rsidRPr="008D7F27">
        <w:rPr>
          <w:lang w:val="es-ES"/>
        </w:rPr>
        <w:t xml:space="preserve">a determinar </w:t>
      </w:r>
      <w:r w:rsidR="00AE6692" w:rsidRPr="008D7F27">
        <w:rPr>
          <w:lang w:val="es-ES"/>
        </w:rPr>
        <w:t>cómo</w:t>
      </w:r>
      <w:r w:rsidRPr="008D7F27">
        <w:rPr>
          <w:lang w:val="es-ES"/>
        </w:rPr>
        <w:t xml:space="preserve"> </w:t>
      </w:r>
      <w:r w:rsidR="47480887" w:rsidRPr="008D7F27">
        <w:rPr>
          <w:lang w:val="es-ES"/>
        </w:rPr>
        <w:t xml:space="preserve">estratégicos </w:t>
      </w:r>
      <w:r w:rsidRPr="008D7F27">
        <w:rPr>
          <w:lang w:val="es-ES"/>
        </w:rPr>
        <w:t xml:space="preserve">para Colombia </w:t>
      </w:r>
      <w:r w:rsidR="47480887" w:rsidRPr="008D7F27">
        <w:rPr>
          <w:lang w:val="es-ES"/>
        </w:rPr>
        <w:t>en las cadenas de valor globales</w:t>
      </w:r>
      <w:r w:rsidRPr="008D7F27">
        <w:rPr>
          <w:lang w:val="es-ES"/>
        </w:rPr>
        <w:t>,</w:t>
      </w:r>
      <w:r w:rsidR="47480887" w:rsidRPr="008D7F27">
        <w:rPr>
          <w:lang w:val="es-ES"/>
        </w:rPr>
        <w:t xml:space="preserve"> se </w:t>
      </w:r>
      <w:r w:rsidRPr="008D7F27">
        <w:rPr>
          <w:lang w:val="es-ES"/>
        </w:rPr>
        <w:t>consideran variables que permitan analizar la dinámica</w:t>
      </w:r>
      <w:r w:rsidR="47480887" w:rsidRPr="008D7F27">
        <w:rPr>
          <w:lang w:val="es-ES"/>
        </w:rPr>
        <w:t xml:space="preserve"> del mercado, la competitividad actual del país y el potencial de sofisticación tecnológica.</w:t>
      </w:r>
      <w:r w:rsidR="7E7928AF" w:rsidRPr="008D7F27">
        <w:rPr>
          <w:lang w:val="es-ES"/>
        </w:rPr>
        <w:t xml:space="preserve"> </w:t>
      </w:r>
      <w:r w:rsidR="47480887" w:rsidRPr="008D7F27">
        <w:rPr>
          <w:lang w:val="es-ES"/>
        </w:rPr>
        <w:t xml:space="preserve">Para este propósito, se </w:t>
      </w:r>
      <w:r w:rsidRPr="008D7F27">
        <w:rPr>
          <w:lang w:val="es-ES"/>
        </w:rPr>
        <w:t>proponen las</w:t>
      </w:r>
      <w:r w:rsidR="47480887" w:rsidRPr="008D7F27">
        <w:rPr>
          <w:lang w:val="es-ES"/>
        </w:rPr>
        <w:t xml:space="preserve"> </w:t>
      </w:r>
      <w:r w:rsidRPr="008D7F27">
        <w:rPr>
          <w:lang w:val="es-ES"/>
        </w:rPr>
        <w:t xml:space="preserve">siguientes </w:t>
      </w:r>
      <w:r w:rsidR="47480887" w:rsidRPr="008D7F27">
        <w:rPr>
          <w:lang w:val="es-ES"/>
        </w:rPr>
        <w:t>variables</w:t>
      </w:r>
      <w:r w:rsidR="47480887" w:rsidRPr="008D7F27">
        <w:rPr>
          <w:rStyle w:val="Refdenotaalpie"/>
          <w:lang w:val="es-ES"/>
        </w:rPr>
        <w:footnoteReference w:id="6"/>
      </w:r>
      <w:r w:rsidR="47480887" w:rsidRPr="008D7F27">
        <w:rPr>
          <w:lang w:val="es-ES"/>
        </w:rPr>
        <w:t>:</w:t>
      </w:r>
    </w:p>
    <w:p w14:paraId="0381A04D" w14:textId="77777777" w:rsidR="47480887" w:rsidRPr="008D7F27" w:rsidRDefault="00806A50" w:rsidP="00614B58">
      <w:pPr>
        <w:rPr>
          <w:lang w:val="es-ES"/>
        </w:rPr>
      </w:pPr>
      <w:r w:rsidRPr="008D7F27">
        <w:rPr>
          <w:lang w:val="es-ES"/>
        </w:rPr>
        <w:t>P</w:t>
      </w:r>
      <w:r w:rsidR="47480887" w:rsidRPr="008D7F27">
        <w:rPr>
          <w:lang w:val="es-ES"/>
        </w:rPr>
        <w:t xml:space="preserve">rioridad de </w:t>
      </w:r>
      <w:r w:rsidRPr="008D7F27">
        <w:rPr>
          <w:lang w:val="es-ES"/>
        </w:rPr>
        <w:t>D</w:t>
      </w:r>
      <w:r w:rsidR="47480887" w:rsidRPr="008D7F27">
        <w:rPr>
          <w:lang w:val="es-ES"/>
        </w:rPr>
        <w:t xml:space="preserve">emanda (PD): </w:t>
      </w:r>
      <w:r w:rsidRPr="008D7F27">
        <w:rPr>
          <w:lang w:val="es-ES"/>
        </w:rPr>
        <w:t>e</w:t>
      </w:r>
      <w:r w:rsidR="47480887" w:rsidRPr="008D7F27">
        <w:rPr>
          <w:lang w:val="es-ES"/>
        </w:rPr>
        <w:t xml:space="preserve">sta variable caracteriza la demanda del mercado internacional con el fin de reconocer las oportunidades para la minería nacional y sus </w:t>
      </w:r>
      <w:r w:rsidR="47480887" w:rsidRPr="008D7F27">
        <w:rPr>
          <w:lang w:val="es-ES"/>
        </w:rPr>
        <w:lastRenderedPageBreak/>
        <w:t xml:space="preserve">industrias asociadas. Se establece mediante la integración de dos factores: la tendencia del mercado en </w:t>
      </w:r>
      <w:r w:rsidR="00A06B5B" w:rsidRPr="008D7F27">
        <w:rPr>
          <w:lang w:val="es-ES"/>
        </w:rPr>
        <w:t>los últimos cinco años</w:t>
      </w:r>
      <w:r w:rsidR="47480887" w:rsidRPr="008D7F27">
        <w:rPr>
          <w:lang w:val="es-ES"/>
        </w:rPr>
        <w:t xml:space="preserve"> (Factor de Crecimiento Anual) y la representatividad del mineral frente al conjunto de minerales estratégicos (Índice de Participación Relativa). </w:t>
      </w:r>
      <w:r w:rsidRPr="008D7F27">
        <w:rPr>
          <w:lang w:val="es-ES"/>
        </w:rPr>
        <w:t xml:space="preserve">Con estos factores se busca </w:t>
      </w:r>
      <w:r w:rsidR="47480887" w:rsidRPr="008D7F27">
        <w:rPr>
          <w:lang w:val="es-ES"/>
        </w:rPr>
        <w:t xml:space="preserve">determinar la </w:t>
      </w:r>
      <w:r w:rsidRPr="008D7F27">
        <w:rPr>
          <w:lang w:val="es-ES"/>
        </w:rPr>
        <w:t xml:space="preserve">importancia </w:t>
      </w:r>
      <w:r w:rsidR="47480887" w:rsidRPr="008D7F27">
        <w:rPr>
          <w:lang w:val="es-ES"/>
        </w:rPr>
        <w:t>de cada recurso en el contexto del mercado mundial, priorizando aquellos con mayor dinamismo y volumen transado.</w:t>
      </w:r>
    </w:p>
    <w:p w14:paraId="1EEF51D6" w14:textId="77777777" w:rsidR="47480887" w:rsidRPr="008D7F27" w:rsidRDefault="00806A50" w:rsidP="00614B58">
      <w:pPr>
        <w:rPr>
          <w:lang w:val="es-ES"/>
        </w:rPr>
      </w:pPr>
      <w:r w:rsidRPr="008D7F27">
        <w:rPr>
          <w:lang w:val="es-ES"/>
        </w:rPr>
        <w:t>V</w:t>
      </w:r>
      <w:r w:rsidR="47480887" w:rsidRPr="008D7F27">
        <w:rPr>
          <w:lang w:val="es-ES"/>
        </w:rPr>
        <w:t xml:space="preserve">entaja Comparativa Revelada (VCR): </w:t>
      </w:r>
      <w:r w:rsidRPr="008D7F27">
        <w:rPr>
          <w:lang w:val="es-ES"/>
        </w:rPr>
        <w:t>c</w:t>
      </w:r>
      <w:r w:rsidR="47480887" w:rsidRPr="008D7F27">
        <w:rPr>
          <w:lang w:val="es-ES"/>
        </w:rPr>
        <w:t xml:space="preserve">onocida también como Índice de Balassa, esta variable mide el grado de especialización exportadora de Colombia en un producto específico en comparación con el promedio mundial. Actúa como un indicador de competitividad real, permitiendo identificar en qué eslabones de la cadena mineral el país posee una eficiencia superior o una presencia consolidada. Un valor superior a la unidad en este índice revela una especialización competitiva que </w:t>
      </w:r>
      <w:r w:rsidRPr="008D7F27">
        <w:rPr>
          <w:lang w:val="es-ES"/>
        </w:rPr>
        <w:t xml:space="preserve">posicionaría </w:t>
      </w:r>
      <w:r w:rsidR="47480887" w:rsidRPr="008D7F27">
        <w:rPr>
          <w:lang w:val="es-ES"/>
        </w:rPr>
        <w:t>a Colombia como un proveedor relevante en el escenario global</w:t>
      </w:r>
      <w:r w:rsidR="00143459" w:rsidRPr="008D7F27">
        <w:rPr>
          <w:lang w:val="es-ES"/>
        </w:rPr>
        <w:t xml:space="preserve"> o para la región de América Latina</w:t>
      </w:r>
      <w:r w:rsidR="47480887" w:rsidRPr="008D7F27">
        <w:rPr>
          <w:lang w:val="es-ES"/>
        </w:rPr>
        <w:t>.</w:t>
      </w:r>
    </w:p>
    <w:p w14:paraId="5E234A7E" w14:textId="04AFC76F" w:rsidR="47480887" w:rsidRPr="008D7F27" w:rsidRDefault="575CBAB5" w:rsidP="0EFAC22F">
      <w:pPr>
        <w:spacing w:after="160" w:line="257" w:lineRule="auto"/>
        <w:rPr>
          <w:lang w:val="es-ES"/>
        </w:rPr>
      </w:pPr>
      <w:r w:rsidRPr="0EFAC22F">
        <w:rPr>
          <w:lang w:val="es-ES"/>
        </w:rPr>
        <w:t xml:space="preserve">Relevancia Competitiva (RC): </w:t>
      </w:r>
      <w:r w:rsidR="33636F50" w:rsidRPr="0EFAC22F">
        <w:rPr>
          <w:lang w:val="es-ES"/>
        </w:rPr>
        <w:t>v</w:t>
      </w:r>
      <w:r w:rsidRPr="0EFAC22F">
        <w:rPr>
          <w:lang w:val="es-ES"/>
        </w:rPr>
        <w:t>ariable</w:t>
      </w:r>
      <w:r w:rsidR="33636F50" w:rsidRPr="0EFAC22F">
        <w:rPr>
          <w:lang w:val="es-ES"/>
        </w:rPr>
        <w:t xml:space="preserve"> propuesta</w:t>
      </w:r>
      <w:r w:rsidRPr="0EFAC22F">
        <w:rPr>
          <w:lang w:val="es-ES"/>
        </w:rPr>
        <w:t xml:space="preserve"> </w:t>
      </w:r>
      <w:r w:rsidR="3ECBCD64" w:rsidRPr="0EFAC22F">
        <w:rPr>
          <w:lang w:val="es-ES"/>
        </w:rPr>
        <w:t xml:space="preserve">para </w:t>
      </w:r>
      <w:r w:rsidR="33636F50" w:rsidRPr="0EFAC22F">
        <w:rPr>
          <w:lang w:val="es-ES"/>
        </w:rPr>
        <w:t>identificar el nivel</w:t>
      </w:r>
      <w:r w:rsidRPr="0EFAC22F">
        <w:rPr>
          <w:lang w:val="es-ES"/>
        </w:rPr>
        <w:t xml:space="preserve"> tecnológic</w:t>
      </w:r>
      <w:r w:rsidR="33636F50" w:rsidRPr="0EFAC22F">
        <w:rPr>
          <w:lang w:val="es-ES"/>
        </w:rPr>
        <w:t>o</w:t>
      </w:r>
      <w:r w:rsidRPr="0EFAC22F">
        <w:rPr>
          <w:lang w:val="es-ES"/>
        </w:rPr>
        <w:t xml:space="preserve"> y el potencial de escalamiento industrial del país. Su objetivo es jerarquizar los minerales por su capacidad de </w:t>
      </w:r>
      <w:r w:rsidR="33636F50" w:rsidRPr="0EFAC22F">
        <w:rPr>
          <w:lang w:val="es-ES"/>
        </w:rPr>
        <w:t>aportar a la industria nacional como insumo para producir bienes con</w:t>
      </w:r>
      <w:r w:rsidRPr="0EFAC22F">
        <w:rPr>
          <w:lang w:val="es-ES"/>
        </w:rPr>
        <w:t xml:space="preserve"> mayor valor agregado</w:t>
      </w:r>
      <w:r w:rsidR="33636F50" w:rsidRPr="0EFAC22F">
        <w:rPr>
          <w:lang w:val="es-ES"/>
        </w:rPr>
        <w:t>.</w:t>
      </w:r>
      <w:r w:rsidRPr="0EFAC22F">
        <w:rPr>
          <w:lang w:val="es-ES"/>
        </w:rPr>
        <w:t xml:space="preserve"> Esta variable se fundamenta en el Índice de Complejidad de Producto (PCI), del Atlas de Complejidad Económica</w:t>
      </w:r>
      <w:r w:rsidR="00FF2F2C">
        <w:rPr>
          <w:lang w:val="es-ES"/>
        </w:rPr>
        <w:t xml:space="preserve"> </w:t>
      </w:r>
      <w:sdt>
        <w:sdtPr>
          <w:rPr>
            <w:lang w:val="es-ES"/>
          </w:rPr>
          <w:id w:val="-674042604"/>
          <w:citation/>
        </w:sdtPr>
        <w:sdtContent>
          <w:r w:rsidR="00E55C2E">
            <w:rPr>
              <w:lang w:val="es-ES"/>
            </w:rPr>
            <w:fldChar w:fldCharType="begin"/>
          </w:r>
          <w:r w:rsidR="00E55C2E">
            <w:rPr>
              <w:lang w:val="es-419"/>
            </w:rPr>
            <w:instrText xml:space="preserve"> CITATION Har26 \l 22538 </w:instrText>
          </w:r>
          <w:r w:rsidR="00E55C2E">
            <w:rPr>
              <w:lang w:val="es-ES"/>
            </w:rPr>
            <w:fldChar w:fldCharType="separate"/>
          </w:r>
          <w:r w:rsidR="00E55C2E">
            <w:rPr>
              <w:noProof/>
              <w:lang w:val="es-419"/>
            </w:rPr>
            <w:t>(Harvard´s Growth Lab, 2026)</w:t>
          </w:r>
          <w:r w:rsidR="00E55C2E">
            <w:rPr>
              <w:lang w:val="es-ES"/>
            </w:rPr>
            <w:fldChar w:fldCharType="end"/>
          </w:r>
        </w:sdtContent>
      </w:sdt>
      <w:r w:rsidRPr="0EFAC22F">
        <w:rPr>
          <w:lang w:val="es-ES"/>
        </w:rPr>
        <w:t xml:space="preserve">, el cual cuantifica la intensidad de conocimiento y la sofisticación técnica intrínseca de </w:t>
      </w:r>
      <w:r w:rsidR="7C300273" w:rsidRPr="0EFAC22F">
        <w:rPr>
          <w:lang w:val="es-ES"/>
        </w:rPr>
        <w:t>los productos acorde con las partidas arancelarias del arancel de aduanas.</w:t>
      </w:r>
      <w:r w:rsidRPr="0EFAC22F">
        <w:rPr>
          <w:lang w:val="es-ES"/>
        </w:rPr>
        <w:t xml:space="preserve"> Un alto puntaje en esta dimensión </w:t>
      </w:r>
      <w:r w:rsidR="3ECBCD64" w:rsidRPr="0EFAC22F">
        <w:rPr>
          <w:lang w:val="es-ES"/>
        </w:rPr>
        <w:t>indica</w:t>
      </w:r>
      <w:r w:rsidR="7C300273" w:rsidRPr="0EFAC22F">
        <w:rPr>
          <w:lang w:val="es-ES"/>
        </w:rPr>
        <w:t xml:space="preserve"> que </w:t>
      </w:r>
      <w:r w:rsidRPr="0EFAC22F">
        <w:rPr>
          <w:lang w:val="es-ES"/>
        </w:rPr>
        <w:t xml:space="preserve">minerales </w:t>
      </w:r>
      <w:r w:rsidR="7C300273" w:rsidRPr="0EFAC22F">
        <w:rPr>
          <w:lang w:val="es-ES"/>
        </w:rPr>
        <w:t xml:space="preserve">cuentan con mayor oportunidad para el desarrollo de </w:t>
      </w:r>
      <w:r w:rsidRPr="0EFAC22F">
        <w:rPr>
          <w:lang w:val="es-ES"/>
        </w:rPr>
        <w:t xml:space="preserve">cadenas de valor </w:t>
      </w:r>
      <w:r w:rsidR="7C300273" w:rsidRPr="0EFAC22F">
        <w:rPr>
          <w:lang w:val="es-ES"/>
        </w:rPr>
        <w:t xml:space="preserve">y </w:t>
      </w:r>
      <w:r w:rsidRPr="0EFAC22F">
        <w:rPr>
          <w:lang w:val="es-ES"/>
        </w:rPr>
        <w:t>nuevas capacidades tecnológicas nacionales.</w:t>
      </w:r>
    </w:p>
    <w:p w14:paraId="0AEDB61E" w14:textId="77777777" w:rsidR="47480887" w:rsidRPr="008D7F27" w:rsidRDefault="00C52D05" w:rsidP="04B0DA99">
      <w:pPr>
        <w:rPr>
          <w:lang w:val="es-ES"/>
        </w:rPr>
      </w:pPr>
      <w:r w:rsidRPr="008D7F27">
        <w:rPr>
          <w:lang w:val="es-ES"/>
        </w:rPr>
        <w:t>Acorde con lo anterior,</w:t>
      </w:r>
      <w:r w:rsidR="47480887" w:rsidRPr="008D7F27">
        <w:rPr>
          <w:lang w:val="es-ES"/>
        </w:rPr>
        <w:t xml:space="preserve"> un mineral </w:t>
      </w:r>
      <w:r w:rsidRPr="008D7F27">
        <w:rPr>
          <w:lang w:val="es-ES"/>
        </w:rPr>
        <w:t xml:space="preserve">que resulte ser estratégico, </w:t>
      </w:r>
      <w:r w:rsidR="47480887" w:rsidRPr="008D7F27">
        <w:rPr>
          <w:lang w:val="es-ES"/>
        </w:rPr>
        <w:t xml:space="preserve">es aquel que logra una convergencia óptima: es altamente demandado globalmente (PD), </w:t>
      </w:r>
      <w:r w:rsidRPr="008D7F27">
        <w:rPr>
          <w:lang w:val="es-ES"/>
        </w:rPr>
        <w:t xml:space="preserve">se ha </w:t>
      </w:r>
      <w:r w:rsidR="47480887" w:rsidRPr="008D7F27">
        <w:rPr>
          <w:lang w:val="es-ES"/>
        </w:rPr>
        <w:t xml:space="preserve">demostrado </w:t>
      </w:r>
      <w:r w:rsidRPr="008D7F27">
        <w:rPr>
          <w:lang w:val="es-ES"/>
        </w:rPr>
        <w:t xml:space="preserve">la </w:t>
      </w:r>
      <w:r w:rsidR="47480887" w:rsidRPr="008D7F27">
        <w:rPr>
          <w:lang w:val="es-ES"/>
        </w:rPr>
        <w:t xml:space="preserve">capacidad para exportarlo </w:t>
      </w:r>
      <w:r w:rsidRPr="008D7F27">
        <w:rPr>
          <w:lang w:val="es-ES"/>
        </w:rPr>
        <w:t xml:space="preserve">de forma competitiva </w:t>
      </w:r>
      <w:r w:rsidR="47480887" w:rsidRPr="008D7F27">
        <w:rPr>
          <w:lang w:val="es-ES"/>
        </w:rPr>
        <w:t>(VCR) y su procesamiento interno ofrece una ruta clara hacia la sofisticación del conocimiento técnico nacional (RC).</w:t>
      </w:r>
    </w:p>
    <w:p w14:paraId="5C70576B" w14:textId="77777777" w:rsidR="6EF57155" w:rsidRPr="008D7F27" w:rsidRDefault="231F3FB3" w:rsidP="00614B58">
      <w:pPr>
        <w:pStyle w:val="Ttulo2"/>
        <w:rPr>
          <w:lang w:val="es-ES"/>
        </w:rPr>
      </w:pPr>
      <w:bookmarkStart w:id="51" w:name="_Toc229145835"/>
      <w:bookmarkStart w:id="52" w:name="_Toc482190638"/>
      <w:r w:rsidRPr="16F44784">
        <w:rPr>
          <w:lang w:val="es-ES"/>
        </w:rPr>
        <w:t xml:space="preserve">Seguridad </w:t>
      </w:r>
      <w:r w:rsidR="7D5F04A0" w:rsidRPr="16F44784">
        <w:rPr>
          <w:lang w:val="es-ES"/>
        </w:rPr>
        <w:t xml:space="preserve">y soberanía </w:t>
      </w:r>
      <w:r w:rsidRPr="16F44784">
        <w:rPr>
          <w:lang w:val="es-ES"/>
        </w:rPr>
        <w:t>nacional</w:t>
      </w:r>
      <w:bookmarkEnd w:id="51"/>
      <w:bookmarkEnd w:id="52"/>
      <w:r w:rsidRPr="16F44784">
        <w:rPr>
          <w:lang w:val="es-ES"/>
        </w:rPr>
        <w:t xml:space="preserve"> </w:t>
      </w:r>
    </w:p>
    <w:p w14:paraId="5CD67864" w14:textId="77777777" w:rsidR="37769DCC" w:rsidRPr="008D7F27" w:rsidRDefault="37769DCC" w:rsidP="0029311A">
      <w:pPr>
        <w:rPr>
          <w:lang w:val="es-ES"/>
        </w:rPr>
      </w:pPr>
      <w:r w:rsidRPr="008D7F27">
        <w:rPr>
          <w:lang w:val="es-ES"/>
        </w:rPr>
        <w:t xml:space="preserve">El presente lineamiento </w:t>
      </w:r>
      <w:r w:rsidR="005E0EE4" w:rsidRPr="008D7F27">
        <w:rPr>
          <w:lang w:val="es-ES"/>
        </w:rPr>
        <w:t>busca</w:t>
      </w:r>
      <w:r w:rsidRPr="008D7F27">
        <w:rPr>
          <w:lang w:val="es-ES"/>
        </w:rPr>
        <w:t xml:space="preserve"> identificar </w:t>
      </w:r>
      <w:r w:rsidR="005E0EE4" w:rsidRPr="008D7F27">
        <w:rPr>
          <w:lang w:val="es-ES"/>
        </w:rPr>
        <w:t xml:space="preserve">aquellos </w:t>
      </w:r>
      <w:r w:rsidRPr="008D7F27">
        <w:rPr>
          <w:lang w:val="es-ES"/>
        </w:rPr>
        <w:t xml:space="preserve">minerales </w:t>
      </w:r>
      <w:r w:rsidR="005E0EE4" w:rsidRPr="008D7F27">
        <w:rPr>
          <w:lang w:val="es-ES"/>
        </w:rPr>
        <w:t>que son objeto de</w:t>
      </w:r>
      <w:r w:rsidRPr="008D7F27">
        <w:rPr>
          <w:lang w:val="es-ES"/>
        </w:rPr>
        <w:t xml:space="preserve"> </w:t>
      </w:r>
      <w:r w:rsidR="00143459" w:rsidRPr="008D7F27">
        <w:rPr>
          <w:lang w:val="es-ES"/>
        </w:rPr>
        <w:t>extracción</w:t>
      </w:r>
      <w:r w:rsidR="005E0EE4" w:rsidRPr="008D7F27">
        <w:rPr>
          <w:lang w:val="es-ES"/>
        </w:rPr>
        <w:t xml:space="preserve"> ilícita en el territorio nacional. </w:t>
      </w:r>
      <w:r w:rsidRPr="008D7F27">
        <w:rPr>
          <w:lang w:val="es-ES"/>
        </w:rPr>
        <w:t xml:space="preserve">Su propósito es incorporar, dentro del análisis para la determinación de minerales estratégicos, una lectura informada sobre </w:t>
      </w:r>
      <w:r w:rsidR="005E0EE4" w:rsidRPr="008D7F27">
        <w:rPr>
          <w:lang w:val="es-ES"/>
        </w:rPr>
        <w:t xml:space="preserve">la realidad asociada a los minerales, </w:t>
      </w:r>
      <w:r w:rsidRPr="008D7F27">
        <w:rPr>
          <w:lang w:val="es-ES"/>
        </w:rPr>
        <w:t>que generan impactos económicos, ambientales y de seguridad.</w:t>
      </w:r>
    </w:p>
    <w:p w14:paraId="2AD569F9" w14:textId="77777777" w:rsidR="37769DCC" w:rsidRPr="008D7F27" w:rsidRDefault="37769DCC" w:rsidP="0029311A">
      <w:pPr>
        <w:rPr>
          <w:lang w:val="es-ES"/>
        </w:rPr>
      </w:pPr>
      <w:r w:rsidRPr="008D7F27">
        <w:rPr>
          <w:lang w:val="es-ES"/>
        </w:rPr>
        <w:t xml:space="preserve">Para tal fin, se </w:t>
      </w:r>
      <w:r w:rsidR="008A37FB" w:rsidRPr="008D7F27">
        <w:rPr>
          <w:lang w:val="es-ES"/>
        </w:rPr>
        <w:t xml:space="preserve">requiere la consulta de </w:t>
      </w:r>
      <w:r w:rsidRPr="008D7F27">
        <w:rPr>
          <w:lang w:val="es-ES"/>
        </w:rPr>
        <w:t>información oficial suministrada por el Ministerio de Defensa Nacional mediante comunicaciones formales remitidas a la Agencia Nacional de Minería</w:t>
      </w:r>
      <w:r w:rsidR="008A37FB" w:rsidRPr="008D7F27">
        <w:rPr>
          <w:lang w:val="es-ES"/>
        </w:rPr>
        <w:t xml:space="preserve">, así como la información disponible publicada por diferentes </w:t>
      </w:r>
      <w:r w:rsidRPr="008D7F27">
        <w:rPr>
          <w:lang w:val="es-ES"/>
        </w:rPr>
        <w:t>medios de comunicación que documentan casos, patrones o alertas sobre explotación ilícita de minerales</w:t>
      </w:r>
      <w:r w:rsidR="6DD796DE" w:rsidRPr="008D7F27">
        <w:rPr>
          <w:lang w:val="es-ES"/>
        </w:rPr>
        <w:t>.</w:t>
      </w:r>
    </w:p>
    <w:p w14:paraId="584F4089" w14:textId="77777777" w:rsidR="00681D4A" w:rsidRPr="008D7F27" w:rsidRDefault="7D5F04A0" w:rsidP="04B0DA99">
      <w:pPr>
        <w:pStyle w:val="Ttulo2"/>
        <w:contextualSpacing w:val="0"/>
        <w:rPr>
          <w:lang w:val="es-ES"/>
        </w:rPr>
      </w:pPr>
      <w:bookmarkStart w:id="53" w:name="_Toc229145836"/>
      <w:bookmarkStart w:id="54" w:name="_Toc794837633"/>
      <w:r w:rsidRPr="16F44784">
        <w:rPr>
          <w:lang w:val="es-ES"/>
        </w:rPr>
        <w:lastRenderedPageBreak/>
        <w:t xml:space="preserve">Determinantes ambientales </w:t>
      </w:r>
      <w:r w:rsidR="54217440" w:rsidRPr="16F44784">
        <w:rPr>
          <w:lang w:val="es-ES"/>
        </w:rPr>
        <w:t>para el</w:t>
      </w:r>
      <w:r w:rsidR="1CE555D6" w:rsidRPr="16F44784">
        <w:rPr>
          <w:lang w:val="es-ES"/>
        </w:rPr>
        <w:t xml:space="preserve"> desarrollo minero </w:t>
      </w:r>
      <w:r w:rsidR="54217440" w:rsidRPr="16F44784">
        <w:rPr>
          <w:lang w:val="es-ES"/>
        </w:rPr>
        <w:t>del</w:t>
      </w:r>
      <w:r w:rsidR="1CE555D6" w:rsidRPr="16F44784">
        <w:rPr>
          <w:lang w:val="es-ES"/>
        </w:rPr>
        <w:t xml:space="preserve"> país</w:t>
      </w:r>
      <w:bookmarkEnd w:id="53"/>
      <w:r w:rsidR="54217440" w:rsidRPr="16F44784">
        <w:rPr>
          <w:lang w:val="es-ES"/>
        </w:rPr>
        <w:t>.</w:t>
      </w:r>
      <w:bookmarkEnd w:id="54"/>
    </w:p>
    <w:p w14:paraId="736BA1C1" w14:textId="77777777" w:rsidR="4932B978" w:rsidRPr="008D7F27" w:rsidRDefault="00F3388D" w:rsidP="0029311A">
      <w:pPr>
        <w:rPr>
          <w:lang w:val="es-ES"/>
        </w:rPr>
      </w:pPr>
      <w:r w:rsidRPr="008D7F27">
        <w:rPr>
          <w:lang w:val="es-ES"/>
        </w:rPr>
        <w:t xml:space="preserve">Considerando que </w:t>
      </w:r>
      <w:r w:rsidR="4932B978" w:rsidRPr="008D7F27">
        <w:rPr>
          <w:lang w:val="es-ES"/>
        </w:rPr>
        <w:t xml:space="preserve">Colombia cuenta con un marco normativo y jurisprudencial en materia ambiental aplicable a </w:t>
      </w:r>
      <w:r w:rsidR="00003167" w:rsidRPr="008D7F27">
        <w:rPr>
          <w:lang w:val="es-ES"/>
        </w:rPr>
        <w:t>la actividad minera en el país,</w:t>
      </w:r>
      <w:r w:rsidR="4932B978" w:rsidRPr="008D7F27">
        <w:rPr>
          <w:lang w:val="es-ES"/>
        </w:rPr>
        <w:t xml:space="preserve"> </w:t>
      </w:r>
      <w:r w:rsidR="00003167" w:rsidRPr="008D7F27">
        <w:rPr>
          <w:lang w:val="es-ES"/>
        </w:rPr>
        <w:t>e</w:t>
      </w:r>
      <w:r w:rsidR="4932B978" w:rsidRPr="008D7F27">
        <w:rPr>
          <w:lang w:val="es-ES"/>
        </w:rPr>
        <w:t xml:space="preserve">n particular, </w:t>
      </w:r>
      <w:r w:rsidR="00003167" w:rsidRPr="008D7F27">
        <w:rPr>
          <w:lang w:val="es-ES"/>
        </w:rPr>
        <w:t xml:space="preserve">en el cual particularmente se destaca lo establecido en </w:t>
      </w:r>
      <w:r w:rsidR="4932B978" w:rsidRPr="008D7F27">
        <w:rPr>
          <w:lang w:val="es-ES"/>
        </w:rPr>
        <w:t xml:space="preserve">el Código de Minas (Ley 685 de 2001) </w:t>
      </w:r>
      <w:r w:rsidR="00003167" w:rsidRPr="008D7F27">
        <w:rPr>
          <w:lang w:val="es-ES"/>
        </w:rPr>
        <w:t>respecto el cual se hace mención a las</w:t>
      </w:r>
      <w:r w:rsidR="4932B978" w:rsidRPr="008D7F27">
        <w:rPr>
          <w:lang w:val="es-ES"/>
        </w:rPr>
        <w:t xml:space="preserve"> áreas excluibles y </w:t>
      </w:r>
      <w:r w:rsidR="00003167" w:rsidRPr="008D7F27">
        <w:rPr>
          <w:lang w:val="es-ES"/>
        </w:rPr>
        <w:t xml:space="preserve">las áreas restringidas </w:t>
      </w:r>
      <w:r w:rsidR="4932B978" w:rsidRPr="008D7F27">
        <w:rPr>
          <w:lang w:val="es-ES"/>
        </w:rPr>
        <w:t xml:space="preserve">para </w:t>
      </w:r>
      <w:r w:rsidR="00003167" w:rsidRPr="008D7F27">
        <w:rPr>
          <w:lang w:val="es-ES"/>
        </w:rPr>
        <w:t>el desarrollo de la actividad minera</w:t>
      </w:r>
      <w:r w:rsidR="4932B978" w:rsidRPr="008D7F27">
        <w:rPr>
          <w:lang w:val="es-ES"/>
        </w:rPr>
        <w:t xml:space="preserve"> (artículos 34 y 35), </w:t>
      </w:r>
      <w:r w:rsidR="00003167" w:rsidRPr="008D7F27">
        <w:rPr>
          <w:lang w:val="es-ES"/>
        </w:rPr>
        <w:t xml:space="preserve">de tal forma que se prohíbe </w:t>
      </w:r>
      <w:r w:rsidR="4932B978" w:rsidRPr="008D7F27">
        <w:rPr>
          <w:lang w:val="es-ES"/>
        </w:rPr>
        <w:t>o condiciona</w:t>
      </w:r>
      <w:r w:rsidR="00003167" w:rsidRPr="008D7F27">
        <w:rPr>
          <w:lang w:val="es-ES"/>
        </w:rPr>
        <w:t xml:space="preserve"> la actividad</w:t>
      </w:r>
      <w:r w:rsidR="4932B978" w:rsidRPr="008D7F27">
        <w:rPr>
          <w:lang w:val="es-ES"/>
        </w:rPr>
        <w:t xml:space="preserve">, con el fin de proteger </w:t>
      </w:r>
      <w:r w:rsidR="00003167" w:rsidRPr="008D7F27">
        <w:rPr>
          <w:lang w:val="es-ES"/>
        </w:rPr>
        <w:t>ecosistemas de importancia ambiental, entre otros.</w:t>
      </w:r>
    </w:p>
    <w:p w14:paraId="03296F17" w14:textId="6B12BBB7" w:rsidR="008647DA" w:rsidRPr="008D7F27" w:rsidRDefault="452861DB" w:rsidP="0029311A">
      <w:pPr>
        <w:rPr>
          <w:lang w:val="es-ES"/>
        </w:rPr>
      </w:pPr>
      <w:r w:rsidRPr="0EFAC22F">
        <w:rPr>
          <w:lang w:val="es-ES"/>
        </w:rPr>
        <w:t>En cumplimiento de este marco</w:t>
      </w:r>
      <w:r w:rsidR="042B2380" w:rsidRPr="0EFAC22F">
        <w:rPr>
          <w:lang w:val="es-ES"/>
        </w:rPr>
        <w:t xml:space="preserve"> normativo</w:t>
      </w:r>
      <w:r w:rsidRPr="0EFAC22F">
        <w:rPr>
          <w:lang w:val="es-ES"/>
        </w:rPr>
        <w:t xml:space="preserve">, </w:t>
      </w:r>
      <w:r w:rsidR="042B2380" w:rsidRPr="0EFAC22F">
        <w:rPr>
          <w:lang w:val="es-ES"/>
        </w:rPr>
        <w:t xml:space="preserve">se </w:t>
      </w:r>
      <w:r w:rsidRPr="0EFAC22F">
        <w:rPr>
          <w:lang w:val="es-ES"/>
        </w:rPr>
        <w:t xml:space="preserve">propone </w:t>
      </w:r>
      <w:r w:rsidR="042B2380" w:rsidRPr="0EFAC22F">
        <w:rPr>
          <w:lang w:val="es-ES"/>
        </w:rPr>
        <w:t>considerar</w:t>
      </w:r>
      <w:r w:rsidRPr="0EFAC22F">
        <w:rPr>
          <w:lang w:val="es-ES"/>
        </w:rPr>
        <w:t xml:space="preserve"> las superposiciones entre el potencial geológico de cada mineral y las determinantes ambientales que excluyen o restringen la actividad minera, a partir de la información </w:t>
      </w:r>
      <w:r w:rsidR="3ECBCD64" w:rsidRPr="0EFAC22F">
        <w:rPr>
          <w:lang w:val="es-ES"/>
        </w:rPr>
        <w:t xml:space="preserve">remitida </w:t>
      </w:r>
      <w:r w:rsidRPr="0EFAC22F">
        <w:rPr>
          <w:lang w:val="es-ES"/>
        </w:rPr>
        <w:t xml:space="preserve">por el Servicio Geológico Colombiano y las distintas entidades que </w:t>
      </w:r>
      <w:r w:rsidR="515B6813" w:rsidRPr="11ADDE3F">
        <w:rPr>
          <w:lang w:val="es-ES"/>
        </w:rPr>
        <w:t>conforman</w:t>
      </w:r>
      <w:r w:rsidRPr="0EFAC22F">
        <w:rPr>
          <w:lang w:val="es-ES"/>
        </w:rPr>
        <w:t xml:space="preserve"> el Sistema Nacional Ambiental (SINA).</w:t>
      </w:r>
      <w:r w:rsidR="445BB553" w:rsidRPr="0EFAC22F">
        <w:rPr>
          <w:lang w:val="es-ES"/>
        </w:rPr>
        <w:t xml:space="preserve"> </w:t>
      </w:r>
    </w:p>
    <w:p w14:paraId="67977023" w14:textId="77777777" w:rsidR="00957CBB" w:rsidRPr="008D7F27" w:rsidRDefault="00957CBB" w:rsidP="00957CBB">
      <w:pPr>
        <w:rPr>
          <w:lang w:val="es-ES"/>
        </w:rPr>
      </w:pPr>
      <w:r w:rsidRPr="008D7F27">
        <w:rPr>
          <w:lang w:val="es-ES"/>
        </w:rPr>
        <w:t xml:space="preserve">Este ejercicio permite estimar, la proporción del total de depósitos donde la minería sería ambientalmente viable o sin superposición con determinantes ambientales, aquella proporción de depósitos donde es excluible la actividad minera y aquella proporción con determinantes ambientales que restringen la actividad minera o </w:t>
      </w:r>
      <w:r w:rsidRPr="008D7F27">
        <w:rPr>
          <w:rStyle w:val="normaltextrun"/>
          <w:shd w:val="clear" w:color="auto" w:fill="FFFFFF"/>
          <w:lang w:val="es-ES"/>
        </w:rPr>
        <w:t> se encuentra sujeta a condicionamientos, entendiendo que el análisis de determinantes ambientales constituye un punto de partida para la solicitud y eventual obtención de los permisos ambientales correspondientes</w:t>
      </w:r>
      <w:r w:rsidRPr="008D7F27">
        <w:rPr>
          <w:lang w:val="es-ES"/>
        </w:rPr>
        <w:t>.</w:t>
      </w:r>
    </w:p>
    <w:p w14:paraId="37B5E40E" w14:textId="2BD4B814" w:rsidR="00957CBB" w:rsidRPr="008D7F27" w:rsidRDefault="12A0C10D" w:rsidP="00957CBB">
      <w:pPr>
        <w:rPr>
          <w:lang w:val="es-ES"/>
        </w:rPr>
      </w:pPr>
      <w:r w:rsidRPr="16F44784">
        <w:rPr>
          <w:lang w:val="es-ES"/>
        </w:rPr>
        <w:t xml:space="preserve">Aunado </w:t>
      </w:r>
      <w:r w:rsidR="1630DD44" w:rsidRPr="16F44784">
        <w:rPr>
          <w:lang w:val="es-ES"/>
        </w:rPr>
        <w:t>a</w:t>
      </w:r>
      <w:r w:rsidR="6E0D284C" w:rsidRPr="16F44784">
        <w:rPr>
          <w:lang w:val="es-ES"/>
        </w:rPr>
        <w:t xml:space="preserve"> lo anterior</w:t>
      </w:r>
      <w:r w:rsidRPr="16F44784">
        <w:rPr>
          <w:lang w:val="es-ES"/>
        </w:rPr>
        <w:t>, y en el marco de la salud humana y la protección ambiental, también se plantea la consideración de los elementos potencialmente peligrosos para la salud y el ambiente. Esta variable puede incluirse como un filtro inicial al listado de minerales preliminarmente considerados para evaluar, tomando como fuente principal de información aquella desarrollada por el grupo de geoquímica ambiental y geología médica del Servicio Geológico Colombiano.</w:t>
      </w:r>
    </w:p>
    <w:p w14:paraId="5436AFF0" w14:textId="1C46B862" w:rsidR="33699A64" w:rsidRDefault="33699A64" w:rsidP="16F44784">
      <w:pPr>
        <w:pStyle w:val="Ttulo2"/>
        <w:rPr>
          <w:lang w:val="es-ES"/>
        </w:rPr>
      </w:pPr>
      <w:bookmarkStart w:id="55" w:name="_Toc128308895"/>
      <w:r w:rsidRPr="16F44784">
        <w:rPr>
          <w:lang w:val="es-ES"/>
        </w:rPr>
        <w:t>D</w:t>
      </w:r>
      <w:r w:rsidR="43476D60" w:rsidRPr="16F44784">
        <w:rPr>
          <w:lang w:val="es-ES"/>
        </w:rPr>
        <w:t>erechos de comunidades étnicas</w:t>
      </w:r>
      <w:r w:rsidR="3CAF1B8D" w:rsidRPr="16F44784">
        <w:rPr>
          <w:lang w:val="es-ES"/>
        </w:rPr>
        <w:t xml:space="preserve"> en el desarrollo minero del país</w:t>
      </w:r>
      <w:r w:rsidR="5AA4FF6B" w:rsidRPr="16F44784">
        <w:rPr>
          <w:lang w:val="es-ES"/>
        </w:rPr>
        <w:t>.</w:t>
      </w:r>
      <w:bookmarkEnd w:id="55"/>
    </w:p>
    <w:p w14:paraId="58576959" w14:textId="043B6C56" w:rsidR="0BC9258A" w:rsidRDefault="0BC9258A" w:rsidP="16F44784">
      <w:pPr>
        <w:rPr>
          <w:lang w:val="es-ES"/>
        </w:rPr>
      </w:pPr>
      <w:r w:rsidRPr="16F44784">
        <w:rPr>
          <w:lang w:val="es-ES"/>
        </w:rPr>
        <w:t>La determinación de minerales estratégicos para Colombia deberá considerar la presencia de comunidades étnicas en las áreas con potencial geológico, bajo un enfoque diferencial orientado al reconocimiento, respeto y salvaguarda de sus derechos fundamentales de carácter territorial, sociocultural y ambiental</w:t>
      </w:r>
      <w:r w:rsidR="40C6B0EA" w:rsidRPr="16F44784">
        <w:rPr>
          <w:lang w:val="es-ES"/>
        </w:rPr>
        <w:t xml:space="preserve"> de los pueblos étnicos</w:t>
      </w:r>
      <w:r w:rsidRPr="16F44784">
        <w:rPr>
          <w:lang w:val="es-ES"/>
        </w:rPr>
        <w:t xml:space="preserve">. </w:t>
      </w:r>
    </w:p>
    <w:p w14:paraId="71EF6FA6" w14:textId="2A383D2F" w:rsidR="0BC9258A" w:rsidRDefault="0BC9258A" w:rsidP="16F44784">
      <w:pPr>
        <w:rPr>
          <w:lang w:val="es-ES"/>
        </w:rPr>
      </w:pPr>
      <w:r w:rsidRPr="16F44784">
        <w:rPr>
          <w:lang w:val="es-ES"/>
        </w:rPr>
        <w:t>Este lineamiento se fundamenta en los principios de diversidad étnica y cultural, salvaguarda de los derechos territoriales y protección de la pervivencia física y cultural de los sujetos étnico-colectivos, reconocidos por la Constitución Política</w:t>
      </w:r>
      <w:r w:rsidR="394DFE48" w:rsidRPr="16F44784">
        <w:rPr>
          <w:lang w:val="es-ES"/>
        </w:rPr>
        <w:t xml:space="preserve"> y</w:t>
      </w:r>
      <w:r w:rsidRPr="16F44784">
        <w:rPr>
          <w:lang w:val="es-ES"/>
        </w:rPr>
        <w:t xml:space="preserve"> la jurisprudencia de la Corte Constitucional. </w:t>
      </w:r>
    </w:p>
    <w:p w14:paraId="698D54E4" w14:textId="6309960F" w:rsidR="0BC9258A" w:rsidRDefault="0BC9258A" w:rsidP="16F44784">
      <w:pPr>
        <w:rPr>
          <w:lang w:val="es-ES"/>
        </w:rPr>
      </w:pPr>
      <w:r w:rsidRPr="16F44784">
        <w:rPr>
          <w:lang w:val="es-ES"/>
        </w:rPr>
        <w:lastRenderedPageBreak/>
        <w:t xml:space="preserve">Para </w:t>
      </w:r>
      <w:r w:rsidR="0C8B8D13" w:rsidRPr="16F44784">
        <w:rPr>
          <w:lang w:val="es-ES"/>
        </w:rPr>
        <w:t>la</w:t>
      </w:r>
      <w:r w:rsidRPr="16F44784">
        <w:rPr>
          <w:lang w:val="es-ES"/>
        </w:rPr>
        <w:t xml:space="preserve"> evaluación</w:t>
      </w:r>
      <w:r w:rsidR="760B8871" w:rsidRPr="16F44784">
        <w:rPr>
          <w:lang w:val="es-ES"/>
        </w:rPr>
        <w:t xml:space="preserve"> de este lineamiento</w:t>
      </w:r>
      <w:r w:rsidRPr="16F44784">
        <w:rPr>
          <w:lang w:val="es-ES"/>
        </w:rPr>
        <w:t>, se propone analizar la superposición entre el potencial geológico de cada mineral y la presencia de comunidades étnicas</w:t>
      </w:r>
      <w:r w:rsidR="00C9A34B" w:rsidRPr="16F44784">
        <w:rPr>
          <w:lang w:val="es-ES"/>
        </w:rPr>
        <w:t xml:space="preserve"> y</w:t>
      </w:r>
      <w:r w:rsidRPr="16F44784">
        <w:rPr>
          <w:lang w:val="es-ES"/>
        </w:rPr>
        <w:t xml:space="preserve"> territorios étnico-colectivos, con base en la información disponible </w:t>
      </w:r>
      <w:r w:rsidR="3F2292B0" w:rsidRPr="16F44784">
        <w:rPr>
          <w:lang w:val="es-ES"/>
        </w:rPr>
        <w:t>d</w:t>
      </w:r>
      <w:r w:rsidRPr="16F44784">
        <w:rPr>
          <w:lang w:val="es-ES"/>
        </w:rPr>
        <w:t>el Ministerio del Interior</w:t>
      </w:r>
      <w:r w:rsidR="34678EF3" w:rsidRPr="16F44784">
        <w:rPr>
          <w:lang w:val="es-ES"/>
        </w:rPr>
        <w:t>, Agencia Nacional de Tierras, Servicio Geológico Colombiano</w:t>
      </w:r>
      <w:r w:rsidR="05E919E9" w:rsidRPr="16F44784">
        <w:rPr>
          <w:lang w:val="es-ES"/>
        </w:rPr>
        <w:t xml:space="preserve">, Agencia Nacional de Minería </w:t>
      </w:r>
      <w:r w:rsidRPr="16F44784">
        <w:rPr>
          <w:lang w:val="es-ES"/>
        </w:rPr>
        <w:t>y las demás entidades competentes.</w:t>
      </w:r>
    </w:p>
    <w:p w14:paraId="5E94C1E9" w14:textId="47CD318E" w:rsidR="0B2D7510" w:rsidRDefault="0B2D7510" w:rsidP="16F44784">
      <w:pPr>
        <w:rPr>
          <w:lang w:val="es-ES"/>
        </w:rPr>
      </w:pPr>
      <w:r w:rsidRPr="16F44784">
        <w:rPr>
          <w:lang w:val="es-ES"/>
        </w:rPr>
        <w:t>Este ejercicio permite estimar la proporción del total de depósitos donde el desarrollo de la actividad minera estaría sujeto a</w:t>
      </w:r>
      <w:r w:rsidR="04B6D05B" w:rsidRPr="16F44784">
        <w:rPr>
          <w:lang w:val="es-ES"/>
        </w:rPr>
        <w:t xml:space="preserve"> garantizar </w:t>
      </w:r>
      <w:r w:rsidR="0ADAB527" w:rsidRPr="16F44784">
        <w:rPr>
          <w:lang w:val="es-ES"/>
        </w:rPr>
        <w:t>los derechos de los grupos étnicos para el otorgamiento de los títulos mineros bajo las condiciones especiales previstas.</w:t>
      </w:r>
    </w:p>
    <w:p w14:paraId="2E9E4057" w14:textId="793A100F" w:rsidR="0BC9258A" w:rsidRDefault="0BC9258A" w:rsidP="16F44784">
      <w:pPr>
        <w:rPr>
          <w:lang w:val="es-ES"/>
        </w:rPr>
      </w:pPr>
      <w:r w:rsidRPr="16F44784">
        <w:rPr>
          <w:lang w:val="es-ES"/>
        </w:rPr>
        <w:t xml:space="preserve">Cuando exista superposición entre el potencial geológico y </w:t>
      </w:r>
      <w:r w:rsidR="475E566D" w:rsidRPr="16F44784">
        <w:rPr>
          <w:lang w:val="es-ES"/>
        </w:rPr>
        <w:t xml:space="preserve">las áreas con presencia </w:t>
      </w:r>
      <w:r w:rsidRPr="16F44784">
        <w:rPr>
          <w:lang w:val="es-ES"/>
        </w:rPr>
        <w:t>étnico</w:t>
      </w:r>
      <w:r w:rsidR="7F2B2E37" w:rsidRPr="16F44784">
        <w:rPr>
          <w:lang w:val="es-ES"/>
        </w:rPr>
        <w:t>-</w:t>
      </w:r>
      <w:r w:rsidRPr="16F44784">
        <w:rPr>
          <w:lang w:val="es-ES"/>
        </w:rPr>
        <w:t>territorial, la gestión de minerales estratégicos deberá armonizar el conocimiento técnico con las cosmovisiones, formas propias de gobierno y modelos de buen vivir de los pueblos étnicamente diferenciados, en el marco de los mecanismos de participación y coordinación institucional aplicables</w:t>
      </w:r>
      <w:r w:rsidR="2E800641" w:rsidRPr="16F44784">
        <w:rPr>
          <w:lang w:val="es-ES"/>
        </w:rPr>
        <w:t xml:space="preserve">, </w:t>
      </w:r>
      <w:r w:rsidR="260945E8" w:rsidRPr="16F44784">
        <w:rPr>
          <w:lang w:val="es-ES"/>
        </w:rPr>
        <w:t>incluida, cuando corresponda,</w:t>
      </w:r>
      <w:r w:rsidR="2E800641" w:rsidRPr="16F44784">
        <w:rPr>
          <w:lang w:val="es-ES"/>
        </w:rPr>
        <w:t xml:space="preserve"> la consulta previa, libre e informada</w:t>
      </w:r>
      <w:r w:rsidR="071D053E" w:rsidRPr="16F44784">
        <w:rPr>
          <w:lang w:val="es-ES"/>
        </w:rPr>
        <w:t>.</w:t>
      </w:r>
    </w:p>
    <w:p w14:paraId="43048194" w14:textId="2F3D5F26" w:rsidR="16F44784" w:rsidRDefault="16F44784" w:rsidP="16F44784">
      <w:pPr>
        <w:rPr>
          <w:lang w:val="es-ES"/>
        </w:rPr>
      </w:pPr>
    </w:p>
    <w:bookmarkStart w:id="56" w:name="_Toc1803101075" w:displacedByCustomXml="next"/>
    <w:sdt>
      <w:sdtPr>
        <w:rPr>
          <w:b w:val="0"/>
          <w:bCs w:val="0"/>
          <w:sz w:val="22"/>
          <w:szCs w:val="22"/>
          <w:lang w:val="es-ES"/>
        </w:rPr>
        <w:id w:val="2080396752"/>
        <w:docPartObj>
          <w:docPartGallery w:val="Bibliographies"/>
          <w:docPartUnique/>
        </w:docPartObj>
      </w:sdtPr>
      <w:sdtEndPr>
        <w:rPr>
          <w:lang w:val="es-CO"/>
        </w:rPr>
      </w:sdtEndPr>
      <w:sdtContent>
        <w:p w14:paraId="062E88C0" w14:textId="5A2AFB87" w:rsidR="00E6198B" w:rsidRDefault="02C7FE67" w:rsidP="16F44784">
          <w:pPr>
            <w:pStyle w:val="Ttulo1"/>
            <w:rPr>
              <w:lang w:val="es-ES"/>
            </w:rPr>
          </w:pPr>
          <w:r w:rsidRPr="16F44784">
            <w:rPr>
              <w:lang w:val="es-ES"/>
            </w:rPr>
            <w:t>Bibliografía</w:t>
          </w:r>
          <w:bookmarkEnd w:id="56"/>
        </w:p>
        <w:sdt>
          <w:sdtPr>
            <w:id w:val="111145805"/>
            <w:bibliography/>
          </w:sdtPr>
          <w:sdtContent>
            <w:p w14:paraId="777AC3EE" w14:textId="77777777" w:rsidR="00E55C2E" w:rsidRDefault="00E6198B" w:rsidP="00E55C2E">
              <w:pPr>
                <w:pStyle w:val="Bibliografa"/>
                <w:ind w:left="720" w:hanging="720"/>
                <w:rPr>
                  <w:noProof/>
                  <w:sz w:val="24"/>
                  <w:szCs w:val="24"/>
                  <w:lang w:val="es-ES"/>
                </w:rPr>
              </w:pPr>
              <w:r w:rsidRPr="0EFAC22F">
                <w:fldChar w:fldCharType="begin"/>
              </w:r>
              <w:r>
                <w:instrText>BIBLIOGRAPHY</w:instrText>
              </w:r>
              <w:r w:rsidRPr="0EFAC22F">
                <w:fldChar w:fldCharType="separate"/>
              </w:r>
              <w:r w:rsidR="00E55C2E">
                <w:rPr>
                  <w:noProof/>
                  <w:lang w:val="es-ES"/>
                </w:rPr>
                <w:t xml:space="preserve">Ministerio de Economía, Comercio e Industria de Japón (METI). (2026). </w:t>
              </w:r>
              <w:r w:rsidR="00E55C2E">
                <w:rPr>
                  <w:i/>
                  <w:iCs/>
                  <w:noProof/>
                  <w:lang w:val="es-ES"/>
                </w:rPr>
                <w:t>Política para garantizar el suministro estable de minerales importantes.</w:t>
              </w:r>
              <w:r w:rsidR="00E55C2E">
                <w:rPr>
                  <w:noProof/>
                  <w:lang w:val="es-ES"/>
                </w:rPr>
                <w:t xml:space="preserve"> Obtenido de https://www.meti.go.jp/policy/economy/economic_security/metal/250619_torikumihoshin.pdf</w:t>
              </w:r>
            </w:p>
            <w:p w14:paraId="3BBB7FF1" w14:textId="77777777" w:rsidR="00E55C2E" w:rsidRDefault="00E55C2E" w:rsidP="00E55C2E">
              <w:pPr>
                <w:pStyle w:val="Bibliografa"/>
                <w:ind w:left="720" w:hanging="720"/>
                <w:rPr>
                  <w:noProof/>
                  <w:lang w:val="es-ES"/>
                </w:rPr>
              </w:pPr>
              <w:r>
                <w:rPr>
                  <w:noProof/>
                  <w:lang w:val="es-ES"/>
                </w:rPr>
                <w:t xml:space="preserve">Ministerio de Minas y Acero de Nigeria. (2016). </w:t>
              </w:r>
              <w:r>
                <w:rPr>
                  <w:i/>
                  <w:iCs/>
                  <w:noProof/>
                  <w:lang w:val="es-ES"/>
                </w:rPr>
                <w:t>Ministerio de Minas y Acero de Nigeria</w:t>
              </w:r>
              <w:r>
                <w:rPr>
                  <w:noProof/>
                  <w:lang w:val="es-ES"/>
                </w:rPr>
                <w:t>. Obtenido de https://msmd.gov.ng/wp-content/uploads/2023/03/Nigeria-Ministry-of-Solid-Minerals-Investment-BrochureV12.pdf?utm</w:t>
              </w:r>
            </w:p>
            <w:p w14:paraId="23280B68" w14:textId="77777777" w:rsidR="00E55C2E" w:rsidRDefault="00E55C2E" w:rsidP="00E55C2E">
              <w:pPr>
                <w:pStyle w:val="Bibliografa"/>
                <w:ind w:left="720" w:hanging="720"/>
                <w:rPr>
                  <w:noProof/>
                  <w:lang w:val="es-ES"/>
                </w:rPr>
              </w:pPr>
              <w:r>
                <w:rPr>
                  <w:noProof/>
                  <w:lang w:val="es-ES"/>
                </w:rPr>
                <w:t xml:space="preserve">MINEM. (Marzo de 2026). </w:t>
              </w:r>
              <w:r>
                <w:rPr>
                  <w:i/>
                  <w:iCs/>
                  <w:noProof/>
                  <w:lang w:val="es-ES"/>
                </w:rPr>
                <w:t>Ministerio de Minas y Energía del Estado Peruano</w:t>
              </w:r>
              <w:r>
                <w:rPr>
                  <w:noProof/>
                  <w:lang w:val="es-ES"/>
                </w:rPr>
                <w:t>. Obtenido de https://www.gob.pe/institucion/minem/noticias/1360664-peru-presenta-ante-el-mundo-su-potencial-y-oportunidades-de-inversion-en-minerales-criticos-y-estrategicos</w:t>
              </w:r>
            </w:p>
            <w:p w14:paraId="524A59DD" w14:textId="77777777" w:rsidR="00E55C2E" w:rsidRDefault="00E55C2E" w:rsidP="00E55C2E">
              <w:pPr>
                <w:pStyle w:val="Bibliografa"/>
                <w:ind w:left="720" w:hanging="720"/>
                <w:rPr>
                  <w:noProof/>
                  <w:lang w:val="es-ES"/>
                </w:rPr>
              </w:pPr>
              <w:r>
                <w:rPr>
                  <w:noProof/>
                  <w:lang w:val="es-ES"/>
                </w:rPr>
                <w:t xml:space="preserve">Ministry of Business, Innovation &amp; Employment. (2025). </w:t>
              </w:r>
              <w:r>
                <w:rPr>
                  <w:i/>
                  <w:iCs/>
                  <w:noProof/>
                  <w:lang w:val="es-ES"/>
                </w:rPr>
                <w:t>A critical minerals list for New Zealand. New Zealand Government</w:t>
              </w:r>
              <w:r>
                <w:rPr>
                  <w:noProof/>
                  <w:lang w:val="es-ES"/>
                </w:rPr>
                <w:t>. Obtenido de https://www.mbie.govt.nz/building-and-energy/energy-and-natural-resources/minerals-and-petroleum/critical-minerals-list/critical-minerals-list-2025</w:t>
              </w:r>
            </w:p>
            <w:p w14:paraId="09665F43" w14:textId="77777777" w:rsidR="00E55C2E" w:rsidRDefault="00E55C2E" w:rsidP="00E55C2E">
              <w:pPr>
                <w:pStyle w:val="Bibliografa"/>
                <w:ind w:left="720" w:hanging="720"/>
                <w:rPr>
                  <w:noProof/>
                  <w:lang w:val="es-ES"/>
                </w:rPr>
              </w:pPr>
              <w:r>
                <w:rPr>
                  <w:noProof/>
                  <w:lang w:val="es-ES"/>
                </w:rPr>
                <w:t xml:space="preserve">Ministerio de Energía y Recursos Minerales. (2024). </w:t>
              </w:r>
              <w:r>
                <w:rPr>
                  <w:i/>
                  <w:iCs/>
                  <w:noProof/>
                  <w:lang w:val="es-ES"/>
                </w:rPr>
                <w:t>Ministerio de Energía y Recursos Minerales</w:t>
              </w:r>
              <w:r>
                <w:rPr>
                  <w:noProof/>
                  <w:lang w:val="es-ES"/>
                </w:rPr>
                <w:t>. Obtenido de https://jdih.esdm.go.id/dokumen/download?id=Kepmen+ESDM+No+69K_MB_01_MEM_B_2024.pdf</w:t>
              </w:r>
            </w:p>
            <w:p w14:paraId="37613700" w14:textId="77777777" w:rsidR="00E55C2E" w:rsidRDefault="00E55C2E" w:rsidP="00E55C2E">
              <w:pPr>
                <w:pStyle w:val="Bibliografa"/>
                <w:ind w:left="720" w:hanging="720"/>
                <w:rPr>
                  <w:noProof/>
                  <w:lang w:val="es-ES"/>
                </w:rPr>
              </w:pPr>
              <w:r>
                <w:rPr>
                  <w:noProof/>
                  <w:lang w:val="es-ES"/>
                </w:rPr>
                <w:t xml:space="preserve">Ministerio Federal de Información y Orientación Nacional. (2025). </w:t>
              </w:r>
              <w:r>
                <w:rPr>
                  <w:i/>
                  <w:iCs/>
                  <w:noProof/>
                  <w:lang w:val="es-ES"/>
                </w:rPr>
                <w:t>Ministerio Federal de Información y Orientación Nacional</w:t>
              </w:r>
              <w:r>
                <w:rPr>
                  <w:noProof/>
                  <w:lang w:val="es-ES"/>
                </w:rPr>
                <w:t>. Obtenido de https://fmino.gov.ng/fg-plots-new-roadmap-for-solid-minerals-development/</w:t>
              </w:r>
            </w:p>
            <w:p w14:paraId="2787D48B" w14:textId="77777777" w:rsidR="00E55C2E" w:rsidRDefault="00E55C2E" w:rsidP="00E55C2E">
              <w:pPr>
                <w:pStyle w:val="Bibliografa"/>
                <w:ind w:left="720" w:hanging="720"/>
                <w:rPr>
                  <w:noProof/>
                  <w:lang w:val="es-ES"/>
                </w:rPr>
              </w:pPr>
              <w:r>
                <w:rPr>
                  <w:noProof/>
                  <w:lang w:val="es-ES"/>
                </w:rPr>
                <w:t xml:space="preserve">Department for Business, Energy and Industrial Strategy. (2022). </w:t>
              </w:r>
              <w:r>
                <w:rPr>
                  <w:i/>
                  <w:iCs/>
                  <w:noProof/>
                  <w:lang w:val="es-ES"/>
                </w:rPr>
                <w:t>Resilience for the Future: The United Kingdom’s Critical Minerals Strategy.</w:t>
              </w:r>
              <w:r>
                <w:rPr>
                  <w:noProof/>
                  <w:lang w:val="es-ES"/>
                </w:rPr>
                <w:t xml:space="preserve"> Obtenido de https://www.gov.uk/government/publications/uk-critical-mineral-strategy/resilience-for-the-future</w:t>
              </w:r>
            </w:p>
            <w:p w14:paraId="20F18E4C" w14:textId="77777777" w:rsidR="00E55C2E" w:rsidRDefault="00E55C2E" w:rsidP="00E55C2E">
              <w:pPr>
                <w:pStyle w:val="Bibliografa"/>
                <w:ind w:left="720" w:hanging="720"/>
                <w:rPr>
                  <w:noProof/>
                  <w:lang w:val="es-ES"/>
                </w:rPr>
              </w:pPr>
              <w:r>
                <w:rPr>
                  <w:noProof/>
                  <w:lang w:val="es-ES"/>
                </w:rPr>
                <w:t xml:space="preserve">SFA Oxford. (2026). </w:t>
              </w:r>
              <w:r>
                <w:rPr>
                  <w:i/>
                  <w:iCs/>
                  <w:noProof/>
                  <w:lang w:val="es-ES"/>
                </w:rPr>
                <w:t>La transición energética en Francia</w:t>
              </w:r>
              <w:r>
                <w:rPr>
                  <w:noProof/>
                  <w:lang w:val="es-ES"/>
                </w:rPr>
                <w:t>. Obtenido de https://www.sfa-oxford.com/lithox/critical-minerals-policy-legislation/all-countries/europe/european-union/france/#:~:text=France%20is%20also%20actively%20securing,vehicles%20and%20energy%20storage%20systems</w:t>
              </w:r>
            </w:p>
            <w:p w14:paraId="6DECBD1E" w14:textId="77777777" w:rsidR="00E55C2E" w:rsidRDefault="00E55C2E" w:rsidP="00E55C2E">
              <w:pPr>
                <w:pStyle w:val="Bibliografa"/>
                <w:ind w:left="720" w:hanging="720"/>
                <w:rPr>
                  <w:noProof/>
                  <w:lang w:val="es-ES"/>
                </w:rPr>
              </w:pPr>
              <w:r>
                <w:rPr>
                  <w:noProof/>
                  <w:lang w:val="es-ES"/>
                </w:rPr>
                <w:t xml:space="preserve">U.S. Department of Energy. (2020). </w:t>
              </w:r>
              <w:r>
                <w:rPr>
                  <w:i/>
                  <w:iCs/>
                  <w:noProof/>
                  <w:lang w:val="es-ES"/>
                </w:rPr>
                <w:t>Energy Act of 2020</w:t>
              </w:r>
              <w:r>
                <w:rPr>
                  <w:noProof/>
                  <w:lang w:val="es-ES"/>
                </w:rPr>
                <w:t>.</w:t>
              </w:r>
            </w:p>
            <w:p w14:paraId="2E201AFD" w14:textId="77777777" w:rsidR="00E55C2E" w:rsidRDefault="00E55C2E" w:rsidP="00E55C2E">
              <w:pPr>
                <w:pStyle w:val="Bibliografa"/>
                <w:ind w:left="720" w:hanging="720"/>
                <w:rPr>
                  <w:noProof/>
                  <w:lang w:val="es-ES"/>
                </w:rPr>
              </w:pPr>
              <w:r>
                <w:rPr>
                  <w:noProof/>
                  <w:lang w:val="es-ES"/>
                </w:rPr>
                <w:t xml:space="preserve">Reino de Arabia Saudita. (2021). </w:t>
              </w:r>
              <w:r>
                <w:rPr>
                  <w:i/>
                  <w:iCs/>
                  <w:noProof/>
                  <w:lang w:val="es-ES"/>
                </w:rPr>
                <w:t>Reino de Arabia Saudita</w:t>
              </w:r>
              <w:r>
                <w:rPr>
                  <w:noProof/>
                  <w:lang w:val="es-ES"/>
                </w:rPr>
                <w:t>. Obtenido de https://www.vision2030.gov.sa/media/bsan2azp/2021-2025-national-</w:t>
              </w:r>
              <w:r>
                <w:rPr>
                  <w:noProof/>
                  <w:lang w:val="es-ES"/>
                </w:rPr>
                <w:lastRenderedPageBreak/>
                <w:t>industrial-development-and-logistics-program-delivery-plan-en.pdf?utm_source=chatgpt.com</w:t>
              </w:r>
            </w:p>
            <w:p w14:paraId="20B835C0" w14:textId="77777777" w:rsidR="00E55C2E" w:rsidRDefault="00E55C2E" w:rsidP="00E55C2E">
              <w:pPr>
                <w:pStyle w:val="Bibliografa"/>
                <w:ind w:left="720" w:hanging="720"/>
                <w:rPr>
                  <w:noProof/>
                  <w:lang w:val="es-ES"/>
                </w:rPr>
              </w:pPr>
              <w:r>
                <w:rPr>
                  <w:noProof/>
                  <w:lang w:val="es-ES"/>
                </w:rPr>
                <w:t>European Commission. (13 de Septiembre de 2017). Recuperado el 2026, de https://eur-lex.europa.eu/legal-content/EN/TXT/?uri=CELEX:52017DC0490#</w:t>
              </w:r>
            </w:p>
            <w:p w14:paraId="55F2D86C" w14:textId="77777777" w:rsidR="00E55C2E" w:rsidRDefault="00E55C2E" w:rsidP="00E55C2E">
              <w:pPr>
                <w:pStyle w:val="Bibliografa"/>
                <w:ind w:left="720" w:hanging="720"/>
                <w:rPr>
                  <w:noProof/>
                  <w:lang w:val="es-ES"/>
                </w:rPr>
              </w:pPr>
              <w:r>
                <w:rPr>
                  <w:noProof/>
                  <w:lang w:val="es-ES"/>
                </w:rPr>
                <w:t xml:space="preserve">Türkiye Critical Minerals Initiative. (2025). </w:t>
              </w:r>
              <w:r>
                <w:rPr>
                  <w:i/>
                  <w:iCs/>
                  <w:noProof/>
                  <w:lang w:val="es-ES"/>
                </w:rPr>
                <w:t>Türkiye Critical Minerals Initiative</w:t>
              </w:r>
              <w:r>
                <w:rPr>
                  <w:noProof/>
                  <w:lang w:val="es-ES"/>
                </w:rPr>
                <w:t>. Obtenido de https://cmiturkiye.org/turkiye</w:t>
              </w:r>
            </w:p>
            <w:p w14:paraId="6065809F" w14:textId="77777777" w:rsidR="00E55C2E" w:rsidRDefault="00E55C2E" w:rsidP="00E55C2E">
              <w:pPr>
                <w:pStyle w:val="Bibliografa"/>
                <w:ind w:left="720" w:hanging="720"/>
                <w:rPr>
                  <w:noProof/>
                  <w:lang w:val="es-ES"/>
                </w:rPr>
              </w:pPr>
              <w:r>
                <w:rPr>
                  <w:noProof/>
                  <w:lang w:val="es-ES"/>
                </w:rPr>
                <w:t xml:space="preserve">Ministerio de recursos minerales y de petróleos. (2025). </w:t>
              </w:r>
              <w:r>
                <w:rPr>
                  <w:i/>
                  <w:iCs/>
                  <w:noProof/>
                  <w:lang w:val="es-ES"/>
                </w:rPr>
                <w:t>Ministerio de recursos minerales y de petróleos</w:t>
              </w:r>
              <w:r>
                <w:rPr>
                  <w:noProof/>
                  <w:lang w:val="es-ES"/>
                </w:rPr>
                <w:t>. Obtenido de https://www.gov.za/sites/default/files/gcis_document/202505/critical-minerals-and-metals-strategy-south-africa-2025.pdf</w:t>
              </w:r>
            </w:p>
            <w:p w14:paraId="3104485A" w14:textId="77777777" w:rsidR="00E55C2E" w:rsidRDefault="00E55C2E" w:rsidP="00E55C2E">
              <w:pPr>
                <w:pStyle w:val="Bibliografa"/>
                <w:ind w:left="720" w:hanging="720"/>
                <w:rPr>
                  <w:noProof/>
                  <w:lang w:val="es-ES"/>
                </w:rPr>
              </w:pPr>
              <w:r>
                <w:rPr>
                  <w:noProof/>
                  <w:lang w:val="es-ES"/>
                </w:rPr>
                <w:t xml:space="preserve">Gobierno Digital. (2025). </w:t>
              </w:r>
              <w:r>
                <w:rPr>
                  <w:i/>
                  <w:iCs/>
                  <w:noProof/>
                  <w:lang w:val="es-ES"/>
                </w:rPr>
                <w:t>Gobierno Digital</w:t>
              </w:r>
              <w:r>
                <w:rPr>
                  <w:noProof/>
                  <w:lang w:val="es-ES"/>
                </w:rPr>
                <w:t>. Obtenido de https://biblioteca.digital.gob.cl/items/3fafeb7f-b363-4bfe-a4de-9855d0c0b2ec</w:t>
              </w:r>
            </w:p>
            <w:p w14:paraId="0C587074" w14:textId="77777777" w:rsidR="00E55C2E" w:rsidRDefault="00E55C2E" w:rsidP="00E55C2E">
              <w:pPr>
                <w:pStyle w:val="Bibliografa"/>
                <w:ind w:left="720" w:hanging="720"/>
                <w:rPr>
                  <w:noProof/>
                  <w:lang w:val="es-ES"/>
                </w:rPr>
              </w:pPr>
              <w:r>
                <w:rPr>
                  <w:noProof/>
                  <w:lang w:val="es-ES"/>
                </w:rPr>
                <w:t xml:space="preserve">British Geological Survey. (2024). </w:t>
              </w:r>
              <w:r>
                <w:rPr>
                  <w:i/>
                  <w:iCs/>
                  <w:noProof/>
                  <w:lang w:val="es-ES"/>
                </w:rPr>
                <w:t>Descarbonisation and Resource Management Programme</w:t>
              </w:r>
              <w:r>
                <w:rPr>
                  <w:noProof/>
                  <w:lang w:val="es-ES"/>
                </w:rPr>
                <w:t>. Obtenido de chrome-extension://efaidnbmnnnibpcajpcglclefindmkaj/https://nora.nerc.ac.uk/id/eprint/538471/1/OR24047_report.pdf</w:t>
              </w:r>
            </w:p>
            <w:p w14:paraId="37DEB7C1" w14:textId="77777777" w:rsidR="00E55C2E" w:rsidRDefault="00E55C2E" w:rsidP="00E55C2E">
              <w:pPr>
                <w:pStyle w:val="Bibliografa"/>
                <w:ind w:left="720" w:hanging="720"/>
                <w:rPr>
                  <w:noProof/>
                  <w:lang w:val="es-ES"/>
                </w:rPr>
              </w:pPr>
              <w:r>
                <w:rPr>
                  <w:noProof/>
                  <w:lang w:val="es-ES"/>
                </w:rPr>
                <w:t>European Union. (03 de 09 de 2020). Recuperado el 2026, de https://eur-lex.europa.eu/legal-content/EN/TXT/?uri=CELEX:52020DC0474</w:t>
              </w:r>
            </w:p>
            <w:p w14:paraId="763C47FE" w14:textId="77777777" w:rsidR="00E55C2E" w:rsidRDefault="00E55C2E" w:rsidP="00E55C2E">
              <w:pPr>
                <w:pStyle w:val="Bibliografa"/>
                <w:ind w:left="720" w:hanging="720"/>
                <w:rPr>
                  <w:noProof/>
                  <w:lang w:val="es-ES"/>
                </w:rPr>
              </w:pPr>
              <w:r>
                <w:rPr>
                  <w:noProof/>
                  <w:lang w:val="es-ES"/>
                </w:rPr>
                <w:t xml:space="preserve">Natural Resources Canada. (2025). </w:t>
              </w:r>
              <w:r>
                <w:rPr>
                  <w:i/>
                  <w:iCs/>
                  <w:noProof/>
                  <w:lang w:val="es-ES"/>
                </w:rPr>
                <w:t>Consultation: Update of Canada's Critical Minerals list and methodology</w:t>
              </w:r>
              <w:r>
                <w:rPr>
                  <w:noProof/>
                  <w:lang w:val="es-ES"/>
                </w:rPr>
                <w:t>. Obtenido de https://natural-resources.canada.ca/minerals-mining/critical-minerals/consultation-update-canada-s-critical-minerals-list-methodology</w:t>
              </w:r>
            </w:p>
            <w:p w14:paraId="01A2D629" w14:textId="77777777" w:rsidR="00E55C2E" w:rsidRDefault="00E55C2E" w:rsidP="00E55C2E">
              <w:pPr>
                <w:pStyle w:val="Bibliografa"/>
                <w:ind w:left="720" w:hanging="720"/>
                <w:rPr>
                  <w:noProof/>
                  <w:lang w:val="es-ES"/>
                </w:rPr>
              </w:pPr>
              <w:r>
                <w:rPr>
                  <w:noProof/>
                  <w:lang w:val="es-ES"/>
                </w:rPr>
                <w:t xml:space="preserve">International Energy Agency. (2025). </w:t>
              </w:r>
              <w:r>
                <w:rPr>
                  <w:i/>
                  <w:iCs/>
                  <w:noProof/>
                  <w:lang w:val="es-ES"/>
                </w:rPr>
                <w:t>The strategy for securing reliable critical minerals supply</w:t>
              </w:r>
              <w:r>
                <w:rPr>
                  <w:noProof/>
                  <w:lang w:val="es-ES"/>
                </w:rPr>
                <w:t>. Obtenido de https://www.iea.org/policies/17942-the-strategy-for-securing-reliable-critical-minerals-supply</w:t>
              </w:r>
            </w:p>
            <w:p w14:paraId="5EFE922C" w14:textId="77777777" w:rsidR="00E55C2E" w:rsidRDefault="00E55C2E" w:rsidP="00E55C2E">
              <w:pPr>
                <w:pStyle w:val="Bibliografa"/>
                <w:ind w:left="720" w:hanging="720"/>
                <w:rPr>
                  <w:noProof/>
                  <w:lang w:val="es-ES"/>
                </w:rPr>
              </w:pPr>
              <w:r>
                <w:rPr>
                  <w:noProof/>
                  <w:lang w:val="es-ES"/>
                </w:rPr>
                <w:t xml:space="preserve">Ministerio de Energía y Recursos Minerales. (2023). </w:t>
              </w:r>
              <w:r>
                <w:rPr>
                  <w:i/>
                  <w:iCs/>
                  <w:noProof/>
                  <w:lang w:val="es-ES"/>
                </w:rPr>
                <w:t>Ministerio de Energía y Recursos Minerales</w:t>
              </w:r>
              <w:r>
                <w:rPr>
                  <w:noProof/>
                  <w:lang w:val="es-ES"/>
                </w:rPr>
                <w:t>. Obtenido de https://jdih.esdm.go.id/common/dokumen-external/Kepmen%20ESDM%20No%20296K_MB_01_MEM_B_2023.pdf</w:t>
              </w:r>
            </w:p>
            <w:p w14:paraId="673A936D" w14:textId="77777777" w:rsidR="00E55C2E" w:rsidRDefault="00E55C2E" w:rsidP="00E55C2E">
              <w:pPr>
                <w:pStyle w:val="Bibliografa"/>
                <w:ind w:left="720" w:hanging="720"/>
                <w:rPr>
                  <w:noProof/>
                  <w:lang w:val="es-ES"/>
                </w:rPr>
              </w:pPr>
              <w:r>
                <w:rPr>
                  <w:noProof/>
                  <w:lang w:val="es-ES"/>
                </w:rPr>
                <w:t xml:space="preserve">Comisión Europea. (22 de 01 de 2014). </w:t>
              </w:r>
              <w:r>
                <w:rPr>
                  <w:i/>
                  <w:iCs/>
                  <w:noProof/>
                  <w:lang w:val="es-ES"/>
                </w:rPr>
                <w:t>Zona de prensa.</w:t>
              </w:r>
              <w:r>
                <w:rPr>
                  <w:noProof/>
                  <w:lang w:val="es-ES"/>
                </w:rPr>
                <w:t xml:space="preserve"> Obtenido de https://ec.europa.eu/commission/presscorner/detail/es/memo_14_37</w:t>
              </w:r>
            </w:p>
            <w:p w14:paraId="4D36A20D" w14:textId="77777777" w:rsidR="00E55C2E" w:rsidRDefault="00E55C2E" w:rsidP="00E55C2E">
              <w:pPr>
                <w:pStyle w:val="Bibliografa"/>
                <w:ind w:left="720" w:hanging="720"/>
                <w:rPr>
                  <w:noProof/>
                  <w:lang w:val="es-ES"/>
                </w:rPr>
              </w:pPr>
              <w:r>
                <w:rPr>
                  <w:noProof/>
                  <w:lang w:val="es-ES"/>
                </w:rPr>
                <w:t xml:space="preserve">Brasil. Presidência da República. (2024). </w:t>
              </w:r>
              <w:r>
                <w:rPr>
                  <w:i/>
                  <w:iCs/>
                  <w:noProof/>
                  <w:lang w:val="es-ES"/>
                </w:rPr>
                <w:t>Decreto nº 10.657. Institui a Política de Apoio ao Licenciamento Ambiental de Projetos de Investimento para a Produção de Minerais Estratégicos — Pró-Minerais Estratégicos. Diário Oficial da União.</w:t>
              </w:r>
              <w:r>
                <w:rPr>
                  <w:noProof/>
                  <w:lang w:val="es-ES"/>
                </w:rPr>
                <w:t xml:space="preserve"> Obtenido de https://www.planalto.gov.br/ccivil_03/_ato2019-2022/2021/decreto/d10657.htm</w:t>
              </w:r>
            </w:p>
            <w:p w14:paraId="43F3A450" w14:textId="77777777" w:rsidR="00E55C2E" w:rsidRDefault="00E55C2E" w:rsidP="00E55C2E">
              <w:pPr>
                <w:pStyle w:val="Bibliografa"/>
                <w:ind w:left="720" w:hanging="720"/>
                <w:rPr>
                  <w:noProof/>
                  <w:lang w:val="es-ES"/>
                </w:rPr>
              </w:pPr>
              <w:r>
                <w:rPr>
                  <w:noProof/>
                  <w:lang w:val="es-ES"/>
                </w:rPr>
                <w:lastRenderedPageBreak/>
                <w:t>DERA. (2025). Obtenido de Raw material list: https://www.deutsche-rohstoffagentur.de/DERA/DE/Themen/Rohstoffmarktrisiken/Rohstoffliste/rohstoffliste_node.html</w:t>
              </w:r>
            </w:p>
            <w:p w14:paraId="74F377DC" w14:textId="77777777" w:rsidR="00E55C2E" w:rsidRDefault="00E55C2E" w:rsidP="00E55C2E">
              <w:pPr>
                <w:pStyle w:val="Bibliografa"/>
                <w:ind w:left="720" w:hanging="720"/>
                <w:rPr>
                  <w:noProof/>
                  <w:lang w:val="es-ES"/>
                </w:rPr>
              </w:pPr>
              <w:r>
                <w:rPr>
                  <w:noProof/>
                  <w:lang w:val="es-ES"/>
                </w:rPr>
                <w:t xml:space="preserve">Department of Mineral Resources and Petroleum. (2025). </w:t>
              </w:r>
              <w:r>
                <w:rPr>
                  <w:i/>
                  <w:iCs/>
                  <w:noProof/>
                  <w:lang w:val="es-ES"/>
                </w:rPr>
                <w:t>Critical Minerals and Metals Strategy South Africa.</w:t>
              </w:r>
              <w:r>
                <w:rPr>
                  <w:noProof/>
                  <w:lang w:val="es-ES"/>
                </w:rPr>
                <w:t xml:space="preserve"> </w:t>
              </w:r>
            </w:p>
            <w:p w14:paraId="3B4A3B38" w14:textId="77777777" w:rsidR="00E55C2E" w:rsidRDefault="00E55C2E" w:rsidP="00E55C2E">
              <w:pPr>
                <w:pStyle w:val="Bibliografa"/>
                <w:ind w:left="720" w:hanging="720"/>
                <w:rPr>
                  <w:noProof/>
                  <w:lang w:val="es-ES"/>
                </w:rPr>
              </w:pPr>
              <w:r>
                <w:rPr>
                  <w:noProof/>
                  <w:lang w:val="es-ES"/>
                </w:rPr>
                <w:t xml:space="preserve">Natural Resources Canada. (2022). </w:t>
              </w:r>
              <w:r>
                <w:rPr>
                  <w:i/>
                  <w:iCs/>
                  <w:noProof/>
                  <w:lang w:val="es-ES"/>
                </w:rPr>
                <w:t>The Canadian Critical Minerals Strategy. From Exploration to Recycling: Powering the Green and Digital Economy for Canada and the World</w:t>
              </w:r>
              <w:r>
                <w:rPr>
                  <w:noProof/>
                  <w:lang w:val="es-ES"/>
                </w:rPr>
                <w:t>. Obtenido de https://www.canada.ca/en/campaign/critical-minerals-in-canada/canadian-critical-minerals-strategy.html</w:t>
              </w:r>
            </w:p>
            <w:p w14:paraId="29CE9668" w14:textId="77777777" w:rsidR="00E55C2E" w:rsidRDefault="00E55C2E" w:rsidP="00E55C2E">
              <w:pPr>
                <w:pStyle w:val="Bibliografa"/>
                <w:ind w:left="720" w:hanging="720"/>
                <w:rPr>
                  <w:noProof/>
                  <w:lang w:val="es-ES"/>
                </w:rPr>
              </w:pPr>
              <w:r>
                <w:rPr>
                  <w:noProof/>
                  <w:lang w:val="es-ES"/>
                </w:rPr>
                <w:t xml:space="preserve">Reino de Arabia Saudita. (2016). </w:t>
              </w:r>
              <w:r>
                <w:rPr>
                  <w:i/>
                  <w:iCs/>
                  <w:noProof/>
                  <w:lang w:val="es-ES"/>
                </w:rPr>
                <w:t>Reino de Arabia Saudita</w:t>
              </w:r>
              <w:r>
                <w:rPr>
                  <w:noProof/>
                  <w:lang w:val="es-ES"/>
                </w:rPr>
                <w:t>. Obtenido de https://www.vision2030.gov.sa/media/rc0b5oy1/saudi_vision203.pdf</w:t>
              </w:r>
            </w:p>
            <w:p w14:paraId="756CDD0F" w14:textId="77777777" w:rsidR="00E55C2E" w:rsidRDefault="00E55C2E" w:rsidP="00E55C2E">
              <w:pPr>
                <w:pStyle w:val="Bibliografa"/>
                <w:ind w:left="720" w:hanging="720"/>
                <w:rPr>
                  <w:noProof/>
                  <w:lang w:val="es-ES"/>
                </w:rPr>
              </w:pPr>
              <w:r>
                <w:rPr>
                  <w:noProof/>
                  <w:lang w:val="es-ES"/>
                </w:rPr>
                <w:t xml:space="preserve">Gobierno de Australia. (2023). </w:t>
              </w:r>
              <w:r>
                <w:rPr>
                  <w:i/>
                  <w:iCs/>
                  <w:noProof/>
                  <w:lang w:val="es-ES"/>
                </w:rPr>
                <w:t>Estrategia para Minerales Críticos 2023-2030</w:t>
              </w:r>
              <w:r>
                <w:rPr>
                  <w:noProof/>
                  <w:lang w:val="es-ES"/>
                </w:rPr>
                <w:t>.</w:t>
              </w:r>
            </w:p>
            <w:p w14:paraId="6C697B03" w14:textId="77777777" w:rsidR="00E55C2E" w:rsidRDefault="00E55C2E" w:rsidP="00E55C2E">
              <w:pPr>
                <w:pStyle w:val="Bibliografa"/>
                <w:ind w:left="720" w:hanging="720"/>
                <w:rPr>
                  <w:noProof/>
                  <w:lang w:val="es-ES"/>
                </w:rPr>
              </w:pPr>
              <w:r>
                <w:rPr>
                  <w:noProof/>
                  <w:lang w:val="es-ES"/>
                </w:rPr>
                <w:t xml:space="preserve">Zappettini, E. (2021). </w:t>
              </w:r>
              <w:r>
                <w:rPr>
                  <w:i/>
                  <w:iCs/>
                  <w:noProof/>
                  <w:lang w:val="es-ES"/>
                </w:rPr>
                <w:t>Repositorio Segemar.</w:t>
              </w:r>
              <w:r>
                <w:rPr>
                  <w:noProof/>
                  <w:lang w:val="es-ES"/>
                </w:rPr>
                <w:t xml:space="preserve"> Recuperado el 3 de Marzo de 2026, de SegemAR: https://repositorio.segemar.gov.ar/handle/308849217/4183</w:t>
              </w:r>
            </w:p>
            <w:p w14:paraId="25A117F4" w14:textId="77777777" w:rsidR="00E55C2E" w:rsidRDefault="00E55C2E" w:rsidP="00E55C2E">
              <w:pPr>
                <w:pStyle w:val="Bibliografa"/>
                <w:ind w:left="720" w:hanging="720"/>
                <w:rPr>
                  <w:noProof/>
                  <w:lang w:val="es-ES"/>
                </w:rPr>
              </w:pPr>
              <w:r>
                <w:rPr>
                  <w:noProof/>
                  <w:lang w:val="es-ES"/>
                </w:rPr>
                <w:t xml:space="preserve">Ministerio de Minas de India. (2023). </w:t>
              </w:r>
              <w:r>
                <w:rPr>
                  <w:i/>
                  <w:iCs/>
                  <w:noProof/>
                  <w:lang w:val="es-ES"/>
                </w:rPr>
                <w:t>Critical Minerals For India. Report of the Committee on identification of Critical Minerals. Ministry of Mines, Government of India</w:t>
              </w:r>
              <w:r>
                <w:rPr>
                  <w:noProof/>
                  <w:lang w:val="es-ES"/>
                </w:rPr>
                <w:t>. Obtenido de https://mines.gov.in/admin/download/649d4212cceb01688027666.pdf.</w:t>
              </w:r>
            </w:p>
            <w:p w14:paraId="3020BAD7" w14:textId="77777777" w:rsidR="00E55C2E" w:rsidRDefault="00E55C2E" w:rsidP="00E55C2E">
              <w:pPr>
                <w:pStyle w:val="Bibliografa"/>
                <w:ind w:left="720" w:hanging="720"/>
                <w:rPr>
                  <w:noProof/>
                  <w:lang w:val="es-ES"/>
                </w:rPr>
              </w:pPr>
              <w:r>
                <w:rPr>
                  <w:noProof/>
                  <w:lang w:val="es-ES"/>
                </w:rPr>
                <w:t xml:space="preserve">International Energy Agency . (s.f.). </w:t>
              </w:r>
              <w:r>
                <w:rPr>
                  <w:i/>
                  <w:iCs/>
                  <w:noProof/>
                  <w:lang w:val="es-ES"/>
                </w:rPr>
                <w:t>National Plan for Mineral Resources (China).</w:t>
              </w:r>
              <w:r>
                <w:rPr>
                  <w:noProof/>
                  <w:lang w:val="es-ES"/>
                </w:rPr>
                <w:t xml:space="preserve"> </w:t>
              </w:r>
            </w:p>
            <w:p w14:paraId="72ACA3B8" w14:textId="77777777" w:rsidR="00E55C2E" w:rsidRDefault="00E55C2E" w:rsidP="00E55C2E">
              <w:pPr>
                <w:pStyle w:val="Bibliografa"/>
                <w:ind w:left="720" w:hanging="720"/>
                <w:rPr>
                  <w:noProof/>
                  <w:lang w:val="es-ES"/>
                </w:rPr>
              </w:pPr>
              <w:r>
                <w:rPr>
                  <w:noProof/>
                  <w:lang w:val="es-ES"/>
                </w:rPr>
                <w:t xml:space="preserve">British Geological Survey. (2021). </w:t>
              </w:r>
              <w:r>
                <w:rPr>
                  <w:i/>
                  <w:iCs/>
                  <w:noProof/>
                  <w:lang w:val="es-ES"/>
                </w:rPr>
                <w:t>UK criticality assessment of technology critical minerals and metals. British Geological Survey.</w:t>
              </w:r>
              <w:r>
                <w:rPr>
                  <w:noProof/>
                  <w:lang w:val="es-ES"/>
                </w:rPr>
                <w:t xml:space="preserve"> Obtenido de chrome-extension://efaidnbmnnnibpcajpcglclefindmkaj/https://nora.nerc.ac.uk/id/eprint/535664/1/CR21120N.pdf</w:t>
              </w:r>
            </w:p>
            <w:p w14:paraId="6411ACF9" w14:textId="77777777" w:rsidR="00E55C2E" w:rsidRDefault="00E55C2E" w:rsidP="00E55C2E">
              <w:pPr>
                <w:pStyle w:val="Bibliografa"/>
                <w:ind w:left="720" w:hanging="720"/>
                <w:rPr>
                  <w:noProof/>
                  <w:lang w:val="es-ES"/>
                </w:rPr>
              </w:pPr>
              <w:r>
                <w:rPr>
                  <w:i/>
                  <w:iCs/>
                  <w:noProof/>
                  <w:lang w:val="es-ES"/>
                </w:rPr>
                <w:t>Departamento Nacional de Planeación</w:t>
              </w:r>
              <w:r>
                <w:rPr>
                  <w:noProof/>
                  <w:lang w:val="es-ES"/>
                </w:rPr>
                <w:t>. (2023). Obtenido de https://colaboracion.dnp.gov.co/CDT/Conpes/Econ%C3%B3micos/4129.pdf</w:t>
              </w:r>
            </w:p>
            <w:p w14:paraId="48298770" w14:textId="77777777" w:rsidR="00E55C2E" w:rsidRDefault="00E55C2E" w:rsidP="00E55C2E">
              <w:pPr>
                <w:pStyle w:val="Bibliografa"/>
                <w:ind w:left="720" w:hanging="720"/>
                <w:rPr>
                  <w:noProof/>
                  <w:lang w:val="es-ES"/>
                </w:rPr>
              </w:pPr>
              <w:r>
                <w:rPr>
                  <w:i/>
                  <w:iCs/>
                  <w:noProof/>
                  <w:lang w:val="es-ES"/>
                </w:rPr>
                <w:t>Harvard´s Growth Lab</w:t>
              </w:r>
              <w:r>
                <w:rPr>
                  <w:noProof/>
                  <w:lang w:val="es-ES"/>
                </w:rPr>
                <w:t>. (2026). Obtenido de https://atlas.hks.harvard.edu/?utm_source=%20&amp;utm_medium=%20&amp;utm_campaign=%20&amp;utm_id=GL%20Navigation</w:t>
              </w:r>
            </w:p>
            <w:p w14:paraId="5F4B0D39" w14:textId="0BC0630A" w:rsidR="002933F4" w:rsidRDefault="00E6198B" w:rsidP="00E55C2E">
              <w:r w:rsidRPr="0EFAC22F">
                <w:rPr>
                  <w:b/>
                  <w:bCs/>
                  <w:noProof/>
                </w:rPr>
                <w:fldChar w:fldCharType="end"/>
              </w:r>
            </w:p>
          </w:sdtContent>
        </w:sdt>
      </w:sdtContent>
    </w:sdt>
    <w:sectPr w:rsidR="002933F4" w:rsidSect="00614B58">
      <w:headerReference w:type="even" r:id="rId17"/>
      <w:headerReference w:type="default" r:id="rId18"/>
      <w:headerReference w:type="first" r:id="rId19"/>
      <w:type w:val="nextColumn"/>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89FDF" w14:textId="77777777" w:rsidR="00761399" w:rsidRDefault="00761399" w:rsidP="007D5318">
      <w:r>
        <w:separator/>
      </w:r>
    </w:p>
  </w:endnote>
  <w:endnote w:type="continuationSeparator" w:id="0">
    <w:p w14:paraId="4E49CFE3" w14:textId="77777777" w:rsidR="00761399" w:rsidRDefault="00761399" w:rsidP="007D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666A" w14:textId="77777777" w:rsidR="004A71A0" w:rsidRDefault="004A71A0">
    <w:pPr>
      <w:pStyle w:val="Piedepgina"/>
    </w:pPr>
    <w:r>
      <w:rPr>
        <w:noProof/>
        <w14:ligatures w14:val="standardContextual"/>
      </w:rPr>
      <mc:AlternateContent>
        <mc:Choice Requires="wps">
          <w:drawing>
            <wp:anchor distT="0" distB="0" distL="0" distR="0" simplePos="0" relativeHeight="251656704" behindDoc="0" locked="0" layoutInCell="1" allowOverlap="1" wp14:anchorId="6D82E05F" wp14:editId="3AA8721E">
              <wp:simplePos x="635" y="635"/>
              <wp:positionH relativeFrom="page">
                <wp:align>left</wp:align>
              </wp:positionH>
              <wp:positionV relativeFrom="page">
                <wp:align>bottom</wp:align>
              </wp:positionV>
              <wp:extent cx="1768475" cy="342900"/>
              <wp:effectExtent l="0" t="0" r="3175" b="0"/>
              <wp:wrapNone/>
              <wp:docPr id="434996059" name="Cuadro de texto 2" descr="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68475" cy="342900"/>
                      </a:xfrm>
                      <a:prstGeom prst="rect">
                        <a:avLst/>
                      </a:prstGeom>
                      <a:noFill/>
                      <a:ln>
                        <a:noFill/>
                      </a:ln>
                    </wps:spPr>
                    <wps:txbx>
                      <w:txbxContent>
                        <w:p w14:paraId="0096B25F" w14:textId="77777777" w:rsidR="004A71A0" w:rsidRPr="004A71A0" w:rsidRDefault="004A71A0" w:rsidP="004A71A0">
                          <w:pPr>
                            <w:rPr>
                              <w:rFonts w:ascii="Aptos" w:eastAsia="Aptos" w:hAnsi="Aptos" w:cs="Aptos"/>
                              <w:noProof/>
                              <w:sz w:val="20"/>
                              <w:szCs w:val="20"/>
                            </w:rPr>
                          </w:pPr>
                          <w:r w:rsidRPr="004A71A0">
                            <w:rPr>
                              <w:noProof/>
                            </w:rPr>
                            <w:t>Informacion 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
          <w:pict>
            <v:shapetype id="_x0000_t202" coordsize="21600,21600" o:spt="202" path="m,l,21600r21600,l21600,xe" w14:anchorId="6D82E05F">
              <v:stroke joinstyle="miter"/>
              <v:path gradientshapeok="t" o:connecttype="rect"/>
            </v:shapetype>
            <v:shape id="Cuadro de texto 2" style="position:absolute;left:0;text-align:left;margin-left:0;margin-top:0;width:139.25pt;height:27pt;z-index:251658241;visibility:visible;mso-wrap-style:none;mso-wrap-distance-left:0;mso-wrap-distance-top:0;mso-wrap-distance-right:0;mso-wrap-distance-bottom:0;mso-position-horizontal:left;mso-position-horizontal-relative:page;mso-position-vertical:bottom;mso-position-vertical-relative:page;v-text-anchor:bottom" alt="Informacion publica"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">
              <v:textbox style="mso-fit-shape-to-text:t" inset="20pt,0,0,15pt">
                <w:txbxContent>
                  <w:p w:rsidRPr="004A71A0" w:rsidR="004A71A0" w:rsidP="004A71A0" w:rsidRDefault="004A71A0" w14:paraId="0096B25F" w14:textId="77777777">
                    <w:pPr>
                      <w:rPr>
                        <w:rFonts w:ascii="Aptos" w:hAnsi="Aptos" w:eastAsia="Aptos" w:cs="Aptos"/>
                        <w:noProof/>
                        <w:sz w:val="20"/>
                        <w:szCs w:val="20"/>
                      </w:rPr>
                    </w:pPr>
                    <w:r w:rsidRPr="004A71A0">
                      <w:rPr>
                        <w:noProof/>
                      </w:rPr>
                      <w:t>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4CBC" w14:textId="77777777" w:rsidR="004A71A0" w:rsidRDefault="004A71A0">
    <w:pPr>
      <w:pStyle w:val="Piedepgina"/>
    </w:pPr>
    <w:r>
      <w:rPr>
        <w:noProof/>
        <w14:ligatures w14:val="standardContextual"/>
      </w:rPr>
      <mc:AlternateContent>
        <mc:Choice Requires="wps">
          <w:drawing>
            <wp:anchor distT="0" distB="0" distL="0" distR="0" simplePos="0" relativeHeight="251657728" behindDoc="0" locked="0" layoutInCell="1" allowOverlap="1" wp14:anchorId="0D9D21B9" wp14:editId="3962CFB3">
              <wp:simplePos x="635" y="635"/>
              <wp:positionH relativeFrom="page">
                <wp:align>left</wp:align>
              </wp:positionH>
              <wp:positionV relativeFrom="page">
                <wp:align>bottom</wp:align>
              </wp:positionV>
              <wp:extent cx="1768475" cy="342900"/>
              <wp:effectExtent l="0" t="0" r="3175" b="0"/>
              <wp:wrapNone/>
              <wp:docPr id="2106881379" name="Cuadro de texto 3" descr="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68475" cy="342900"/>
                      </a:xfrm>
                      <a:prstGeom prst="rect">
                        <a:avLst/>
                      </a:prstGeom>
                      <a:noFill/>
                      <a:ln>
                        <a:noFill/>
                      </a:ln>
                    </wps:spPr>
                    <wps:txbx>
                      <w:txbxContent>
                        <w:p w14:paraId="7B7E9611" w14:textId="77777777" w:rsidR="004A71A0" w:rsidRPr="004A71A0" w:rsidRDefault="004A71A0" w:rsidP="004A71A0">
                          <w:pPr>
                            <w:rPr>
                              <w:rFonts w:ascii="Aptos" w:eastAsia="Aptos" w:hAnsi="Aptos" w:cs="Aptos"/>
                              <w:noProof/>
                              <w:sz w:val="20"/>
                              <w:szCs w:val="20"/>
                            </w:rPr>
                          </w:pPr>
                          <w:r w:rsidRPr="004A71A0">
                            <w:rPr>
                              <w:noProof/>
                            </w:rPr>
                            <w:t>Informacion 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
          <w:pict>
            <v:shapetype id="_x0000_t202" coordsize="21600,21600" o:spt="202" path="m,l,21600r21600,l21600,xe" w14:anchorId="0D9D21B9">
              <v:stroke joinstyle="miter"/>
              <v:path gradientshapeok="t" o:connecttype="rect"/>
            </v:shapetype>
            <v:shape id="Cuadro de texto 3" style="position:absolute;left:0;text-align:left;margin-left:0;margin-top:0;width:139.25pt;height:27pt;z-index:251658242;visibility:visible;mso-wrap-style:none;mso-wrap-distance-left:0;mso-wrap-distance-top:0;mso-wrap-distance-right:0;mso-wrap-distance-bottom:0;mso-position-horizontal:left;mso-position-horizontal-relative:page;mso-position-vertical:bottom;mso-position-vertical-relative:page;v-text-anchor:bottom" alt="Informacion publica"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">
              <v:textbox style="mso-fit-shape-to-text:t" inset="20pt,0,0,15pt">
                <w:txbxContent>
                  <w:p w:rsidRPr="004A71A0" w:rsidR="004A71A0" w:rsidP="004A71A0" w:rsidRDefault="004A71A0" w14:paraId="7B7E9611" w14:textId="77777777">
                    <w:pPr>
                      <w:rPr>
                        <w:rFonts w:ascii="Aptos" w:hAnsi="Aptos" w:eastAsia="Aptos" w:cs="Aptos"/>
                        <w:noProof/>
                        <w:sz w:val="20"/>
                        <w:szCs w:val="20"/>
                      </w:rPr>
                    </w:pPr>
                    <w:r w:rsidRPr="004A71A0">
                      <w:rPr>
                        <w:noProof/>
                      </w:rPr>
                      <w:t>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C9C1" w14:textId="77777777" w:rsidR="004A71A0" w:rsidRDefault="004A71A0">
    <w:pPr>
      <w:pStyle w:val="Piedepgina"/>
    </w:pPr>
    <w:r>
      <w:rPr>
        <w:noProof/>
        <w14:ligatures w14:val="standardContextual"/>
      </w:rPr>
      <mc:AlternateContent>
        <mc:Choice Requires="wps">
          <w:drawing>
            <wp:anchor distT="0" distB="0" distL="0" distR="0" simplePos="0" relativeHeight="251655680" behindDoc="0" locked="0" layoutInCell="1" allowOverlap="1" wp14:anchorId="4B8A2E4C" wp14:editId="268402D5">
              <wp:simplePos x="635" y="635"/>
              <wp:positionH relativeFrom="page">
                <wp:align>left</wp:align>
              </wp:positionH>
              <wp:positionV relativeFrom="page">
                <wp:align>bottom</wp:align>
              </wp:positionV>
              <wp:extent cx="1768475" cy="342900"/>
              <wp:effectExtent l="0" t="0" r="3175" b="0"/>
              <wp:wrapNone/>
              <wp:docPr id="282268031" name="Cuadro de texto 1" descr="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68475" cy="342900"/>
                      </a:xfrm>
                      <a:prstGeom prst="rect">
                        <a:avLst/>
                      </a:prstGeom>
                      <a:noFill/>
                      <a:ln>
                        <a:noFill/>
                      </a:ln>
                    </wps:spPr>
                    <wps:txbx>
                      <w:txbxContent>
                        <w:p w14:paraId="15335B4C" w14:textId="77777777" w:rsidR="004A71A0" w:rsidRPr="004A71A0" w:rsidRDefault="004A71A0" w:rsidP="004A71A0">
                          <w:pPr>
                            <w:rPr>
                              <w:rFonts w:ascii="Aptos" w:eastAsia="Aptos" w:hAnsi="Aptos" w:cs="Aptos"/>
                              <w:noProof/>
                              <w:sz w:val="20"/>
                              <w:szCs w:val="20"/>
                            </w:rPr>
                          </w:pPr>
                          <w:r w:rsidRPr="004A71A0">
                            <w:rPr>
                              <w:noProof/>
                            </w:rPr>
                            <w:t>Informacion publica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
          <w:pict>
            <v:shapetype id="_x0000_t202" coordsize="21600,21600" o:spt="202" path="m,l,21600r21600,l21600,xe" w14:anchorId="4B8A2E4C">
              <v:stroke joinstyle="miter"/>
              <v:path gradientshapeok="t" o:connecttype="rect"/>
            </v:shapetype>
            <v:shape id="Cuadro de texto 1" style="position:absolute;left:0;text-align:left;margin-left:0;margin-top:0;width:139.25pt;height:27pt;z-index:251658240;visibility:visible;mso-wrap-style:none;mso-wrap-distance-left:0;mso-wrap-distance-top:0;mso-wrap-distance-right:0;mso-wrap-distance-bottom:0;mso-position-horizontal:left;mso-position-horizontal-relative:page;mso-position-vertical:bottom;mso-position-vertical-relative:page;v-text-anchor:bottom" alt="Informacion publica"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">
              <v:textbox style="mso-fit-shape-to-text:t" inset="20pt,0,0,15pt">
                <w:txbxContent>
                  <w:p w:rsidRPr="004A71A0" w:rsidR="004A71A0" w:rsidP="004A71A0" w:rsidRDefault="004A71A0" w14:paraId="15335B4C" w14:textId="77777777">
                    <w:pPr>
                      <w:rPr>
                        <w:rFonts w:ascii="Aptos" w:hAnsi="Aptos" w:eastAsia="Aptos" w:cs="Aptos"/>
                        <w:noProof/>
                        <w:sz w:val="20"/>
                        <w:szCs w:val="20"/>
                      </w:rPr>
                    </w:pPr>
                    <w:r w:rsidRPr="004A71A0">
                      <w:rPr>
                        <w:noProof/>
                      </w:rPr>
                      <w:t>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44A7" w14:textId="77777777" w:rsidR="00761399" w:rsidRDefault="00761399" w:rsidP="007D5318">
      <w:r>
        <w:separator/>
      </w:r>
    </w:p>
  </w:footnote>
  <w:footnote w:type="continuationSeparator" w:id="0">
    <w:p w14:paraId="4BF0727B" w14:textId="77777777" w:rsidR="00761399" w:rsidRDefault="00761399" w:rsidP="007D5318">
      <w:r>
        <w:continuationSeparator/>
      </w:r>
    </w:p>
  </w:footnote>
  <w:footnote w:id="1">
    <w:p w14:paraId="1D761E0A" w14:textId="77777777" w:rsidR="00FD362A" w:rsidRPr="00FD362A" w:rsidRDefault="00FD362A" w:rsidP="00526CD3">
      <w:pPr>
        <w:pStyle w:val="Textonotapie"/>
        <w:jc w:val="left"/>
        <w:rPr>
          <w:lang w:val="es-ES_tradnl"/>
        </w:rPr>
      </w:pPr>
      <w:r>
        <w:rPr>
          <w:rStyle w:val="Refdenotaalpie"/>
        </w:rPr>
        <w:footnoteRef/>
      </w:r>
      <w:r>
        <w:t xml:space="preserve"> </w:t>
      </w:r>
      <w:r w:rsidRPr="00FD362A">
        <w:t>Platino, Paladio, Rodio, Rutenio, Iridio y Osmio</w:t>
      </w:r>
      <w:r>
        <w:t>.</w:t>
      </w:r>
    </w:p>
  </w:footnote>
  <w:footnote w:id="2">
    <w:p w14:paraId="576B2240" w14:textId="77777777" w:rsidR="00FD362A" w:rsidRPr="00FD362A" w:rsidRDefault="00FD362A" w:rsidP="00526CD3">
      <w:pPr>
        <w:pStyle w:val="Textonotapie"/>
        <w:jc w:val="left"/>
        <w:rPr>
          <w:lang w:val="es-ES_tradnl"/>
        </w:rPr>
      </w:pPr>
      <w:r>
        <w:rPr>
          <w:rStyle w:val="Refdenotaalpie"/>
        </w:rPr>
        <w:footnoteRef/>
      </w:r>
      <w:r>
        <w:t xml:space="preserve"> </w:t>
      </w:r>
      <w:r w:rsidRPr="00FD362A">
        <w:t>Cerio, Disprosio, Erbio, Escandio, Europio, Gadolinio, Holmio, Iterbio, Itrio, Lantano, Lutecio, Neodimio, Praseodimio, Prometio, Samario, Terbio y Tulio</w:t>
      </w:r>
      <w:r>
        <w:t>.</w:t>
      </w:r>
    </w:p>
  </w:footnote>
  <w:footnote w:id="3">
    <w:p w14:paraId="440DC911" w14:textId="77777777" w:rsidR="00FD362A" w:rsidRPr="00FD362A" w:rsidRDefault="00FD362A" w:rsidP="00526CD3">
      <w:pPr>
        <w:pStyle w:val="Textonotapie"/>
        <w:jc w:val="left"/>
        <w:rPr>
          <w:lang w:val="es-ES_tradnl"/>
        </w:rPr>
      </w:pPr>
      <w:r>
        <w:rPr>
          <w:rStyle w:val="Refdenotaalpie"/>
        </w:rPr>
        <w:footnoteRef/>
      </w:r>
      <w:r>
        <w:t xml:space="preserve"> </w:t>
      </w:r>
      <w:r w:rsidR="006041B2">
        <w:t>Limitado a: a</w:t>
      </w:r>
      <w:r w:rsidRPr="00FD362A">
        <w:t>renas, gravas y arcillas</w:t>
      </w:r>
      <w:r>
        <w:t>.</w:t>
      </w:r>
    </w:p>
  </w:footnote>
  <w:footnote w:id="4">
    <w:p w14:paraId="5FE76684" w14:textId="77777777" w:rsidR="00856BEA" w:rsidRDefault="00856BEA">
      <w:pPr>
        <w:pStyle w:val="Textonotapie"/>
      </w:pPr>
    </w:p>
  </w:footnote>
  <w:footnote w:id="5">
    <w:p w14:paraId="4B54D1E2" w14:textId="77777777" w:rsidR="00483CF7" w:rsidRPr="00483CF7" w:rsidRDefault="00483CF7">
      <w:pPr>
        <w:pStyle w:val="Textonotapie"/>
        <w:rPr>
          <w:lang w:val="es-ES_tradnl"/>
        </w:rPr>
      </w:pPr>
      <w:r>
        <w:rPr>
          <w:rStyle w:val="Refdenotaalpie"/>
        </w:rPr>
        <w:footnoteRef/>
      </w:r>
      <w:r>
        <w:t xml:space="preserve"> </w:t>
      </w:r>
      <w:r w:rsidR="00D05FCB" w:rsidRPr="00D05FCB">
        <w:rPr>
          <w:sz w:val="16"/>
          <w:szCs w:val="16"/>
        </w:rPr>
        <w:t>El Banco Mundial clasifica las economías del mundo en cuatro grupos según su Ingreso Nacional Bruto (INB) per cápita mediante el método Atlas, con una actualización anual cada 1 de julio. Para el ciclo vigente, los umbrales se establecen en: ingresos bajos ($1.145 &lt;), medios-bajos ($1.146$ - $4.515), medios-altos ($4.516$ –  $14.005) y altos (&gt; $14.005$). Estas categorías reflejan el nivel de desarrollo económico y determinan el acceso a condiciones de financiamiento internacional. Para efectos de este análisis, se categorizan como "economías de ingresos altos" al grupo de ingresos altos, y como "economías de ingresos medios" a la consolidación de los grupos de ingresos bajos, medios-bajos y medios-altos</w:t>
      </w:r>
    </w:p>
  </w:footnote>
  <w:footnote w:id="6">
    <w:p w14:paraId="1004B594" w14:textId="77777777" w:rsidR="04B0DA99" w:rsidRPr="008647DA" w:rsidRDefault="04B0DA99" w:rsidP="04B0DA99">
      <w:pPr>
        <w:pStyle w:val="Textonotapie"/>
        <w:spacing w:line="259" w:lineRule="auto"/>
        <w:rPr>
          <w:sz w:val="18"/>
          <w:szCs w:val="18"/>
        </w:rPr>
      </w:pPr>
      <w:r w:rsidRPr="008647DA">
        <w:rPr>
          <w:rStyle w:val="Refdenotaalpie"/>
          <w:sz w:val="18"/>
          <w:szCs w:val="18"/>
        </w:rPr>
        <w:footnoteRef/>
      </w:r>
      <w:r w:rsidRPr="008647DA">
        <w:rPr>
          <w:sz w:val="18"/>
          <w:szCs w:val="18"/>
        </w:rPr>
        <w:t xml:space="preserve"> Para el cálculo de estas variables, se analiza el flujo comercial mundial a través de las subpartidas asociadas a las fases de explotación y beneficio intermedio. Esto incluye minerales concentrados, sin refinar, refinados, productos de reciclaje y manufacturas básicas, excluyendo bienes finales terminados para asegurar que el análisis se centre estrictamente en la cadena de suministro mineral.</w:t>
      </w:r>
    </w:p>
    <w:p w14:paraId="1FB6A684" w14:textId="77777777" w:rsidR="04B0DA99" w:rsidRPr="008647DA" w:rsidRDefault="04B0DA99" w:rsidP="04B0DA99">
      <w:pPr>
        <w:pStyle w:val="Textonotapie"/>
        <w:spacing w:line="259" w:lineRule="auto"/>
        <w:rPr>
          <w:sz w:val="18"/>
          <w:szCs w:val="18"/>
        </w:rPr>
      </w:pPr>
      <w:r w:rsidRPr="008647DA">
        <w:rPr>
          <w:rFonts w:eastAsia="Aptos"/>
          <w:sz w:val="18"/>
          <w:szCs w:val="18"/>
        </w:rPr>
        <w:t>También es importante señalara que se consideró para algunos casos, los seis dígitos del código arancelario del sistema armonizado, es decir, capitulo, partida y subpartida y en otros casos solo partida y subpartida.  Así mismo, se excluyeron aquellas partidas en las que no fuera posible determinar la composición del mineral frente a otros presentes o si el mineral no tuviera la mayor participación en determinado código arancelario.</w:t>
      </w:r>
    </w:p>
    <w:p w14:paraId="3D1ECED3" w14:textId="77777777" w:rsidR="04B0DA99" w:rsidRDefault="04B0DA99" w:rsidP="04B0DA9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4EBC6" w14:textId="77777777" w:rsidR="000E754D" w:rsidRDefault="000E75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D885772" w14:paraId="597F667C" w14:textId="77777777" w:rsidTr="0D885772">
      <w:trPr>
        <w:trHeight w:val="300"/>
      </w:trPr>
      <w:tc>
        <w:tcPr>
          <w:tcW w:w="3120" w:type="dxa"/>
        </w:tcPr>
        <w:p w14:paraId="417BB511" w14:textId="77777777" w:rsidR="0D885772" w:rsidRDefault="0D885772" w:rsidP="0D885772">
          <w:pPr>
            <w:pStyle w:val="Encabezado"/>
            <w:ind w:left="-115"/>
            <w:jc w:val="left"/>
          </w:pPr>
        </w:p>
      </w:tc>
      <w:tc>
        <w:tcPr>
          <w:tcW w:w="3120" w:type="dxa"/>
        </w:tcPr>
        <w:p w14:paraId="41DE2CDC" w14:textId="77777777" w:rsidR="0D885772" w:rsidRDefault="0D885772" w:rsidP="0D885772">
          <w:pPr>
            <w:pStyle w:val="Encabezado"/>
            <w:jc w:val="center"/>
          </w:pPr>
        </w:p>
      </w:tc>
      <w:tc>
        <w:tcPr>
          <w:tcW w:w="3120" w:type="dxa"/>
        </w:tcPr>
        <w:p w14:paraId="036BCC0B" w14:textId="77777777" w:rsidR="0D885772" w:rsidRDefault="0D885772" w:rsidP="0D885772">
          <w:pPr>
            <w:pStyle w:val="Encabezado"/>
            <w:ind w:right="-115"/>
            <w:jc w:val="right"/>
          </w:pPr>
        </w:p>
      </w:tc>
    </w:tr>
  </w:tbl>
  <w:p w14:paraId="078B8E7F" w14:textId="3AD38383" w:rsidR="0D885772" w:rsidRDefault="00000000" w:rsidP="0D885772">
    <w:pPr>
      <w:pStyle w:val="Encabezado"/>
    </w:pPr>
    <w:sdt>
      <w:sdtPr>
        <w:id w:val="83350618"/>
        <w:docPartObj>
          <w:docPartGallery w:val="Watermarks"/>
          <w:docPartUnique/>
        </w:docPartObj>
      </w:sdtPr>
      <w:sdtContent>
        <w:r w:rsidR="00761399">
          <w:pict w14:anchorId="64F94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704533" o:spid="_x0000_s1025" type="#_x0000_t136" alt="" style="position:absolute;left:0;text-align:left;margin-left:0;margin-top:0;width:479.85pt;height:179.95pt;rotation:315;z-index:-251656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RRADOR"/>
              <w10:wrap anchorx="margin" anchory="margin"/>
            </v:shape>
          </w:pict>
        </w:r>
      </w:sdtContent>
    </w:sdt>
    <w:r w:rsidR="000E754D">
      <w:rPr>
        <w:noProof/>
        <w:lang w:val="en-US"/>
      </w:rPr>
      <w:drawing>
        <wp:anchor distT="0" distB="0" distL="114300" distR="114300" simplePos="0" relativeHeight="251658752" behindDoc="0" locked="0" layoutInCell="1" allowOverlap="1" wp14:anchorId="6D310CAC" wp14:editId="70D1F708">
          <wp:simplePos x="0" y="0"/>
          <wp:positionH relativeFrom="margin">
            <wp:posOffset>-771525</wp:posOffset>
          </wp:positionH>
          <wp:positionV relativeFrom="paragraph">
            <wp:posOffset>-564515</wp:posOffset>
          </wp:positionV>
          <wp:extent cx="7754620" cy="846455"/>
          <wp:effectExtent l="0" t="0" r="0" b="0"/>
          <wp:wrapNone/>
          <wp:docPr id="716534256" name="Imagen 1615993281" descr="Fondo negro con letras bl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descr="Fondo negro con letras blancas"/>
                  <pic:cNvPicPr>
                    <a:picLocks noChangeAspect="1" noChangeArrowheads="1"/>
                  </pic:cNvPicPr>
                </pic:nvPicPr>
                <pic:blipFill rotWithShape="1">
                  <a:blip r:embed="rId1">
                    <a:extLst>
                      <a:ext uri="{28A0092B-C50C-407E-A947-70E740481C1C}">
                        <a14:useLocalDpi xmlns:a14="http://schemas.microsoft.com/office/drawing/2010/main" val="0"/>
                      </a:ext>
                    </a:extLst>
                  </a:blip>
                  <a:srcRect t="4745" b="86820"/>
                  <a:stretch/>
                </pic:blipFill>
                <pic:spPr bwMode="auto">
                  <a:xfrm>
                    <a:off x="0" y="0"/>
                    <a:ext cx="7754620" cy="846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0EB5" w14:textId="77777777" w:rsidR="000E754D" w:rsidRDefault="000E754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F980" w14:textId="77777777" w:rsidR="000E754D" w:rsidRDefault="000E754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D885772" w14:paraId="146A5E77" w14:textId="77777777" w:rsidTr="0D885772">
      <w:trPr>
        <w:trHeight w:val="300"/>
      </w:trPr>
      <w:tc>
        <w:tcPr>
          <w:tcW w:w="3120" w:type="dxa"/>
        </w:tcPr>
        <w:p w14:paraId="6BAF56E6" w14:textId="77777777" w:rsidR="0D885772" w:rsidRDefault="0D885772" w:rsidP="0D885772">
          <w:pPr>
            <w:pStyle w:val="Encabezado"/>
            <w:ind w:left="-115"/>
            <w:jc w:val="left"/>
          </w:pPr>
        </w:p>
      </w:tc>
      <w:tc>
        <w:tcPr>
          <w:tcW w:w="3120" w:type="dxa"/>
        </w:tcPr>
        <w:p w14:paraId="40A5A0ED" w14:textId="77777777" w:rsidR="0D885772" w:rsidRDefault="0D885772" w:rsidP="0D885772">
          <w:pPr>
            <w:pStyle w:val="Encabezado"/>
            <w:jc w:val="center"/>
          </w:pPr>
        </w:p>
      </w:tc>
      <w:tc>
        <w:tcPr>
          <w:tcW w:w="3120" w:type="dxa"/>
        </w:tcPr>
        <w:p w14:paraId="2D1B892D" w14:textId="77777777" w:rsidR="0D885772" w:rsidRDefault="0D885772" w:rsidP="0D885772">
          <w:pPr>
            <w:pStyle w:val="Encabezado"/>
            <w:ind w:right="-115"/>
            <w:jc w:val="right"/>
          </w:pPr>
        </w:p>
      </w:tc>
    </w:tr>
  </w:tbl>
  <w:p w14:paraId="4FB6A9E9" w14:textId="77777777" w:rsidR="0D885772" w:rsidRDefault="0D885772" w:rsidP="0D885772">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E0FD" w14:textId="77777777" w:rsidR="000E754D" w:rsidRDefault="000E754D">
    <w:pPr>
      <w:pStyle w:val="Encabezado"/>
    </w:pPr>
  </w:p>
</w:hdr>
</file>

<file path=word/intelligence2.xml><?xml version="1.0" encoding="utf-8"?>
<int2:intelligence xmlns:int2="http://schemas.microsoft.com/office/intelligence/2020/intelligence" xmlns:oel="http://schemas.microsoft.com/office/2019/extlst">
  <int2:observations>
    <int2:textHash int2:hashCode="bJb5yCm8+0fNQ9" int2:id="bwlgZA2j">
      <int2:state int2:value="Rejected" int2:type="spell"/>
    </int2:textHash>
    <int2:textHash int2:hashCode="Df3yWBiW5VmLli" int2:id="xkBDxPb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FC6"/>
    <w:multiLevelType w:val="hybridMultilevel"/>
    <w:tmpl w:val="681E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DA0A0F"/>
    <w:multiLevelType w:val="hybridMultilevel"/>
    <w:tmpl w:val="47AE2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3672C5"/>
    <w:multiLevelType w:val="hybridMultilevel"/>
    <w:tmpl w:val="83B64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332229F"/>
    <w:multiLevelType w:val="hybridMultilevel"/>
    <w:tmpl w:val="C9205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3157BA"/>
    <w:multiLevelType w:val="hybridMultilevel"/>
    <w:tmpl w:val="6D8C2A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8CE4B06"/>
    <w:multiLevelType w:val="hybridMultilevel"/>
    <w:tmpl w:val="50961764"/>
    <w:lvl w:ilvl="0" w:tplc="99340408">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A105A7"/>
    <w:multiLevelType w:val="hybridMultilevel"/>
    <w:tmpl w:val="9D7C3E98"/>
    <w:lvl w:ilvl="0" w:tplc="99340408">
      <w:start w:val="1"/>
      <w:numFmt w:val="lowerRoman"/>
      <w:lvlText w:val="%1."/>
      <w:lvlJc w:val="right"/>
      <w:pPr>
        <w:ind w:left="1800" w:hanging="360"/>
      </w:pPr>
    </w:lvl>
    <w:lvl w:ilvl="1" w:tplc="F0267ABA">
      <w:start w:val="1"/>
      <w:numFmt w:val="lowerLetter"/>
      <w:lvlText w:val="%2."/>
      <w:lvlJc w:val="left"/>
      <w:pPr>
        <w:ind w:left="2520" w:hanging="360"/>
      </w:pPr>
    </w:lvl>
    <w:lvl w:ilvl="2" w:tplc="BA3C244E">
      <w:start w:val="1"/>
      <w:numFmt w:val="lowerRoman"/>
      <w:lvlText w:val="%3."/>
      <w:lvlJc w:val="right"/>
      <w:pPr>
        <w:ind w:left="3240" w:hanging="180"/>
      </w:pPr>
    </w:lvl>
    <w:lvl w:ilvl="3" w:tplc="41105D18">
      <w:start w:val="1"/>
      <w:numFmt w:val="decimal"/>
      <w:lvlText w:val="%4."/>
      <w:lvlJc w:val="left"/>
      <w:pPr>
        <w:ind w:left="3960" w:hanging="360"/>
      </w:pPr>
    </w:lvl>
    <w:lvl w:ilvl="4" w:tplc="FBA464B0">
      <w:start w:val="1"/>
      <w:numFmt w:val="lowerLetter"/>
      <w:lvlText w:val="%5."/>
      <w:lvlJc w:val="left"/>
      <w:pPr>
        <w:ind w:left="4680" w:hanging="360"/>
      </w:pPr>
    </w:lvl>
    <w:lvl w:ilvl="5" w:tplc="54BE8F5A">
      <w:start w:val="1"/>
      <w:numFmt w:val="lowerRoman"/>
      <w:lvlText w:val="%6."/>
      <w:lvlJc w:val="right"/>
      <w:pPr>
        <w:ind w:left="5400" w:hanging="180"/>
      </w:pPr>
    </w:lvl>
    <w:lvl w:ilvl="6" w:tplc="EA624CFC">
      <w:start w:val="1"/>
      <w:numFmt w:val="decimal"/>
      <w:lvlText w:val="%7."/>
      <w:lvlJc w:val="left"/>
      <w:pPr>
        <w:ind w:left="6120" w:hanging="360"/>
      </w:pPr>
    </w:lvl>
    <w:lvl w:ilvl="7" w:tplc="C17E90CC">
      <w:start w:val="1"/>
      <w:numFmt w:val="lowerLetter"/>
      <w:lvlText w:val="%8."/>
      <w:lvlJc w:val="left"/>
      <w:pPr>
        <w:ind w:left="6840" w:hanging="360"/>
      </w:pPr>
    </w:lvl>
    <w:lvl w:ilvl="8" w:tplc="5276CB16">
      <w:start w:val="1"/>
      <w:numFmt w:val="lowerRoman"/>
      <w:lvlText w:val="%9."/>
      <w:lvlJc w:val="right"/>
      <w:pPr>
        <w:ind w:left="7560" w:hanging="180"/>
      </w:pPr>
    </w:lvl>
  </w:abstractNum>
  <w:abstractNum w:abstractNumId="7" w15:restartNumberingAfterBreak="0">
    <w:nsid w:val="500817BD"/>
    <w:multiLevelType w:val="hybridMultilevel"/>
    <w:tmpl w:val="E2546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0D1591"/>
    <w:multiLevelType w:val="multilevel"/>
    <w:tmpl w:val="63AC5BBC"/>
    <w:styleLink w:val="Listaactual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565B18B4"/>
    <w:multiLevelType w:val="multilevel"/>
    <w:tmpl w:val="1AFA3A70"/>
    <w:lvl w:ilvl="0">
      <w:start w:val="1"/>
      <w:numFmt w:val="decimal"/>
      <w:lvlText w:val="%1."/>
      <w:lvlJc w:val="left"/>
      <w:pPr>
        <w:ind w:left="1440" w:hanging="360"/>
      </w:pPr>
      <w:rPr>
        <w:rFonts w:hint="default"/>
        <w:b/>
        <w:bCs/>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5B83792D"/>
    <w:multiLevelType w:val="hybridMultilevel"/>
    <w:tmpl w:val="6B24D7C4"/>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DA25D46"/>
    <w:multiLevelType w:val="multilevel"/>
    <w:tmpl w:val="48206538"/>
    <w:styleLink w:val="Listaactual1"/>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446B6A"/>
    <w:multiLevelType w:val="hybridMultilevel"/>
    <w:tmpl w:val="1C80B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D10602D"/>
    <w:multiLevelType w:val="multilevel"/>
    <w:tmpl w:val="0A723A1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16DA8"/>
    <w:multiLevelType w:val="multilevel"/>
    <w:tmpl w:val="BE404646"/>
    <w:lvl w:ilvl="0">
      <w:start w:val="1"/>
      <w:numFmt w:val="decimal"/>
      <w:pStyle w:val="Ttulo1"/>
      <w:lvlText w:val="%1."/>
      <w:lvlJc w:val="left"/>
      <w:pPr>
        <w:ind w:left="1080" w:hanging="360"/>
      </w:pPr>
    </w:lvl>
    <w:lvl w:ilvl="1">
      <w:start w:val="1"/>
      <w:numFmt w:val="decimal"/>
      <w:pStyle w:val="Ttulo2"/>
      <w:lvlText w:val="%1.%2."/>
      <w:lvlJc w:val="left"/>
      <w:pPr>
        <w:ind w:left="1512" w:hanging="432"/>
      </w:pPr>
    </w:lvl>
    <w:lvl w:ilvl="2">
      <w:start w:val="1"/>
      <w:numFmt w:val="decimal"/>
      <w:pStyle w:val="Ttulo3"/>
      <w:lvlText w:val="%1.%2.%3."/>
      <w:lvlJc w:val="left"/>
      <w:pPr>
        <w:ind w:left="1944" w:hanging="504"/>
      </w:pPr>
    </w:lvl>
    <w:lvl w:ilvl="3">
      <w:start w:val="1"/>
      <w:numFmt w:val="decimal"/>
      <w:pStyle w:val="Ttulo4"/>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71686729"/>
    <w:multiLevelType w:val="multilevel"/>
    <w:tmpl w:val="63AC5BBC"/>
    <w:styleLink w:val="Listaactual3"/>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7AAE369F"/>
    <w:multiLevelType w:val="hybridMultilevel"/>
    <w:tmpl w:val="4A16A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C994A26"/>
    <w:multiLevelType w:val="hybridMultilevel"/>
    <w:tmpl w:val="3C5E2D56"/>
    <w:lvl w:ilvl="0" w:tplc="0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6123093">
    <w:abstractNumId w:val="6"/>
  </w:num>
  <w:num w:numId="2" w16cid:durableId="1212693014">
    <w:abstractNumId w:val="11"/>
  </w:num>
  <w:num w:numId="3" w16cid:durableId="1772626903">
    <w:abstractNumId w:val="14"/>
  </w:num>
  <w:num w:numId="4" w16cid:durableId="172453571">
    <w:abstractNumId w:val="8"/>
  </w:num>
  <w:num w:numId="5" w16cid:durableId="1987584559">
    <w:abstractNumId w:val="15"/>
  </w:num>
  <w:num w:numId="6" w16cid:durableId="338625398">
    <w:abstractNumId w:val="13"/>
  </w:num>
  <w:num w:numId="7" w16cid:durableId="1148282421">
    <w:abstractNumId w:val="9"/>
  </w:num>
  <w:num w:numId="8" w16cid:durableId="829516908">
    <w:abstractNumId w:val="7"/>
  </w:num>
  <w:num w:numId="9" w16cid:durableId="411002381">
    <w:abstractNumId w:val="12"/>
  </w:num>
  <w:num w:numId="10" w16cid:durableId="344669112">
    <w:abstractNumId w:val="2"/>
  </w:num>
  <w:num w:numId="11" w16cid:durableId="20592329">
    <w:abstractNumId w:val="1"/>
  </w:num>
  <w:num w:numId="12" w16cid:durableId="157155815">
    <w:abstractNumId w:val="3"/>
  </w:num>
  <w:num w:numId="13" w16cid:durableId="857157489">
    <w:abstractNumId w:val="16"/>
  </w:num>
  <w:num w:numId="14" w16cid:durableId="989140791">
    <w:abstractNumId w:val="0"/>
  </w:num>
  <w:num w:numId="15" w16cid:durableId="1026714386">
    <w:abstractNumId w:val="5"/>
  </w:num>
  <w:num w:numId="16" w16cid:durableId="584533391">
    <w:abstractNumId w:val="10"/>
  </w:num>
  <w:num w:numId="17" w16cid:durableId="922910271">
    <w:abstractNumId w:val="17"/>
  </w:num>
  <w:num w:numId="18" w16cid:durableId="1743481366">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bio Andres Aleman Machado">
    <w15:presenceInfo w15:providerId="AD" w15:userId="S::faleman@mintic.gov.co::a83710b4-e3ae-4744-ad96-5e7041e48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18"/>
    <w:rsid w:val="00001313"/>
    <w:rsid w:val="00002B21"/>
    <w:rsid w:val="00003167"/>
    <w:rsid w:val="0000359C"/>
    <w:rsid w:val="000035E1"/>
    <w:rsid w:val="00003702"/>
    <w:rsid w:val="00007105"/>
    <w:rsid w:val="00011327"/>
    <w:rsid w:val="0001210A"/>
    <w:rsid w:val="000127CF"/>
    <w:rsid w:val="00012F0E"/>
    <w:rsid w:val="00014975"/>
    <w:rsid w:val="00026563"/>
    <w:rsid w:val="0003027F"/>
    <w:rsid w:val="00030FDD"/>
    <w:rsid w:val="00031B5F"/>
    <w:rsid w:val="0003640B"/>
    <w:rsid w:val="000415D7"/>
    <w:rsid w:val="00042AA2"/>
    <w:rsid w:val="000454AE"/>
    <w:rsid w:val="000454D2"/>
    <w:rsid w:val="000500BF"/>
    <w:rsid w:val="0005122B"/>
    <w:rsid w:val="00051FA5"/>
    <w:rsid w:val="00052F2E"/>
    <w:rsid w:val="00054E27"/>
    <w:rsid w:val="000642AC"/>
    <w:rsid w:val="0006636E"/>
    <w:rsid w:val="0007388E"/>
    <w:rsid w:val="00083604"/>
    <w:rsid w:val="000856F0"/>
    <w:rsid w:val="00085CC6"/>
    <w:rsid w:val="00091E70"/>
    <w:rsid w:val="0009471D"/>
    <w:rsid w:val="00094D01"/>
    <w:rsid w:val="00095027"/>
    <w:rsid w:val="00095D56"/>
    <w:rsid w:val="000A1D24"/>
    <w:rsid w:val="000A4032"/>
    <w:rsid w:val="000A66CB"/>
    <w:rsid w:val="000A789B"/>
    <w:rsid w:val="000B5C08"/>
    <w:rsid w:val="000B5F71"/>
    <w:rsid w:val="000B6111"/>
    <w:rsid w:val="000B61CB"/>
    <w:rsid w:val="000C1078"/>
    <w:rsid w:val="000C2745"/>
    <w:rsid w:val="000C2FEB"/>
    <w:rsid w:val="000C4527"/>
    <w:rsid w:val="000C7A33"/>
    <w:rsid w:val="000D1CB9"/>
    <w:rsid w:val="000D1D4F"/>
    <w:rsid w:val="000D2980"/>
    <w:rsid w:val="000D3D4D"/>
    <w:rsid w:val="000D5D6F"/>
    <w:rsid w:val="000D7BF4"/>
    <w:rsid w:val="000E03DE"/>
    <w:rsid w:val="000E3FAC"/>
    <w:rsid w:val="000E4213"/>
    <w:rsid w:val="000E754D"/>
    <w:rsid w:val="000F1778"/>
    <w:rsid w:val="000F4209"/>
    <w:rsid w:val="000F43C6"/>
    <w:rsid w:val="000F5B2D"/>
    <w:rsid w:val="000F7D51"/>
    <w:rsid w:val="000F7FA1"/>
    <w:rsid w:val="00100294"/>
    <w:rsid w:val="00102E2E"/>
    <w:rsid w:val="001031C1"/>
    <w:rsid w:val="0010386B"/>
    <w:rsid w:val="00104F63"/>
    <w:rsid w:val="00106417"/>
    <w:rsid w:val="001116C1"/>
    <w:rsid w:val="00113B32"/>
    <w:rsid w:val="00120294"/>
    <w:rsid w:val="001202C8"/>
    <w:rsid w:val="00120F03"/>
    <w:rsid w:val="00122AB7"/>
    <w:rsid w:val="00123AB8"/>
    <w:rsid w:val="001264F9"/>
    <w:rsid w:val="001308AE"/>
    <w:rsid w:val="00131133"/>
    <w:rsid w:val="0013262C"/>
    <w:rsid w:val="00136978"/>
    <w:rsid w:val="00140278"/>
    <w:rsid w:val="00141E1B"/>
    <w:rsid w:val="00142155"/>
    <w:rsid w:val="00143459"/>
    <w:rsid w:val="00143ACB"/>
    <w:rsid w:val="00144C25"/>
    <w:rsid w:val="00147018"/>
    <w:rsid w:val="0014709E"/>
    <w:rsid w:val="0015259B"/>
    <w:rsid w:val="00162E57"/>
    <w:rsid w:val="00163CF3"/>
    <w:rsid w:val="00165486"/>
    <w:rsid w:val="00167A06"/>
    <w:rsid w:val="0017000F"/>
    <w:rsid w:val="001749E7"/>
    <w:rsid w:val="00174ED9"/>
    <w:rsid w:val="00175AA7"/>
    <w:rsid w:val="00176299"/>
    <w:rsid w:val="00182F0C"/>
    <w:rsid w:val="0019210E"/>
    <w:rsid w:val="00192CD1"/>
    <w:rsid w:val="00196BC9"/>
    <w:rsid w:val="001A0560"/>
    <w:rsid w:val="001A0954"/>
    <w:rsid w:val="001A7D3A"/>
    <w:rsid w:val="001B032F"/>
    <w:rsid w:val="001B0A0C"/>
    <w:rsid w:val="001B0A3A"/>
    <w:rsid w:val="001B3C24"/>
    <w:rsid w:val="001B5025"/>
    <w:rsid w:val="001B5DAB"/>
    <w:rsid w:val="001B6085"/>
    <w:rsid w:val="001C08D8"/>
    <w:rsid w:val="001C1C05"/>
    <w:rsid w:val="001D06D0"/>
    <w:rsid w:val="001D4222"/>
    <w:rsid w:val="001D424E"/>
    <w:rsid w:val="001D5B72"/>
    <w:rsid w:val="001E29E2"/>
    <w:rsid w:val="001E3647"/>
    <w:rsid w:val="001E36C0"/>
    <w:rsid w:val="001E4037"/>
    <w:rsid w:val="001E51F0"/>
    <w:rsid w:val="001F0E6A"/>
    <w:rsid w:val="0020339A"/>
    <w:rsid w:val="00204B22"/>
    <w:rsid w:val="00210FF1"/>
    <w:rsid w:val="002118FC"/>
    <w:rsid w:val="00213846"/>
    <w:rsid w:val="00221521"/>
    <w:rsid w:val="00221C41"/>
    <w:rsid w:val="002240E0"/>
    <w:rsid w:val="002242D5"/>
    <w:rsid w:val="002245A1"/>
    <w:rsid w:val="002268FF"/>
    <w:rsid w:val="002314C1"/>
    <w:rsid w:val="00231616"/>
    <w:rsid w:val="0023251B"/>
    <w:rsid w:val="00233D50"/>
    <w:rsid w:val="00233D83"/>
    <w:rsid w:val="0023608D"/>
    <w:rsid w:val="00237D3A"/>
    <w:rsid w:val="002435D8"/>
    <w:rsid w:val="0024435F"/>
    <w:rsid w:val="00245548"/>
    <w:rsid w:val="00253797"/>
    <w:rsid w:val="00260A56"/>
    <w:rsid w:val="00260E34"/>
    <w:rsid w:val="00264649"/>
    <w:rsid w:val="00270B15"/>
    <w:rsid w:val="002722AB"/>
    <w:rsid w:val="00274EE2"/>
    <w:rsid w:val="00277259"/>
    <w:rsid w:val="00280EE5"/>
    <w:rsid w:val="00283F1E"/>
    <w:rsid w:val="00283FDC"/>
    <w:rsid w:val="00285BE7"/>
    <w:rsid w:val="00287907"/>
    <w:rsid w:val="0029212B"/>
    <w:rsid w:val="0029311A"/>
    <w:rsid w:val="002933F4"/>
    <w:rsid w:val="00293DF9"/>
    <w:rsid w:val="002950B5"/>
    <w:rsid w:val="00295450"/>
    <w:rsid w:val="00295BF4"/>
    <w:rsid w:val="00297039"/>
    <w:rsid w:val="0029D279"/>
    <w:rsid w:val="002A1153"/>
    <w:rsid w:val="002A2EF1"/>
    <w:rsid w:val="002A3C3A"/>
    <w:rsid w:val="002A4F21"/>
    <w:rsid w:val="002A608F"/>
    <w:rsid w:val="002A6B89"/>
    <w:rsid w:val="002A7CC9"/>
    <w:rsid w:val="002B3929"/>
    <w:rsid w:val="002B4141"/>
    <w:rsid w:val="002B5AAE"/>
    <w:rsid w:val="002B69DD"/>
    <w:rsid w:val="002B6C5A"/>
    <w:rsid w:val="002C379E"/>
    <w:rsid w:val="002C6438"/>
    <w:rsid w:val="002D2006"/>
    <w:rsid w:val="002D3BF7"/>
    <w:rsid w:val="002D41E6"/>
    <w:rsid w:val="002D771C"/>
    <w:rsid w:val="002E0820"/>
    <w:rsid w:val="002E5181"/>
    <w:rsid w:val="002E55A2"/>
    <w:rsid w:val="002E6A92"/>
    <w:rsid w:val="002F0BB8"/>
    <w:rsid w:val="002F2020"/>
    <w:rsid w:val="002F22D2"/>
    <w:rsid w:val="002F371A"/>
    <w:rsid w:val="002F383A"/>
    <w:rsid w:val="00301525"/>
    <w:rsid w:val="00303CA3"/>
    <w:rsid w:val="00303E73"/>
    <w:rsid w:val="003054DD"/>
    <w:rsid w:val="003056EE"/>
    <w:rsid w:val="003110D8"/>
    <w:rsid w:val="003118D1"/>
    <w:rsid w:val="00311E5B"/>
    <w:rsid w:val="003121D4"/>
    <w:rsid w:val="00321064"/>
    <w:rsid w:val="0032483C"/>
    <w:rsid w:val="00330797"/>
    <w:rsid w:val="00332C8C"/>
    <w:rsid w:val="00335A10"/>
    <w:rsid w:val="00336D86"/>
    <w:rsid w:val="0033790F"/>
    <w:rsid w:val="003420C0"/>
    <w:rsid w:val="00343A42"/>
    <w:rsid w:val="00343E29"/>
    <w:rsid w:val="00345A0C"/>
    <w:rsid w:val="00346707"/>
    <w:rsid w:val="00355F14"/>
    <w:rsid w:val="00362A4A"/>
    <w:rsid w:val="0036352D"/>
    <w:rsid w:val="00373972"/>
    <w:rsid w:val="00373C25"/>
    <w:rsid w:val="00376F3A"/>
    <w:rsid w:val="00381191"/>
    <w:rsid w:val="00381A6F"/>
    <w:rsid w:val="0038213A"/>
    <w:rsid w:val="00382BFD"/>
    <w:rsid w:val="00386FDC"/>
    <w:rsid w:val="003877AE"/>
    <w:rsid w:val="00390DCC"/>
    <w:rsid w:val="00392A6C"/>
    <w:rsid w:val="00394A15"/>
    <w:rsid w:val="0039507E"/>
    <w:rsid w:val="00397234"/>
    <w:rsid w:val="003A0C1B"/>
    <w:rsid w:val="003A2623"/>
    <w:rsid w:val="003B0BCE"/>
    <w:rsid w:val="003B1B8D"/>
    <w:rsid w:val="003B29B1"/>
    <w:rsid w:val="003B7777"/>
    <w:rsid w:val="003C0322"/>
    <w:rsid w:val="003C1048"/>
    <w:rsid w:val="003D2648"/>
    <w:rsid w:val="003D2FBC"/>
    <w:rsid w:val="003D339C"/>
    <w:rsid w:val="003D68BE"/>
    <w:rsid w:val="003E02AE"/>
    <w:rsid w:val="003E063C"/>
    <w:rsid w:val="003E29D5"/>
    <w:rsid w:val="003E37DF"/>
    <w:rsid w:val="003E4F92"/>
    <w:rsid w:val="003E6CE9"/>
    <w:rsid w:val="003E7BF7"/>
    <w:rsid w:val="003F2ADF"/>
    <w:rsid w:val="003F64E9"/>
    <w:rsid w:val="003F7C37"/>
    <w:rsid w:val="00400CF0"/>
    <w:rsid w:val="0040234A"/>
    <w:rsid w:val="00402810"/>
    <w:rsid w:val="00403A40"/>
    <w:rsid w:val="00404192"/>
    <w:rsid w:val="00404792"/>
    <w:rsid w:val="00406134"/>
    <w:rsid w:val="0040660E"/>
    <w:rsid w:val="00406944"/>
    <w:rsid w:val="00407024"/>
    <w:rsid w:val="0040715B"/>
    <w:rsid w:val="0040717F"/>
    <w:rsid w:val="00407550"/>
    <w:rsid w:val="00411640"/>
    <w:rsid w:val="00413C2C"/>
    <w:rsid w:val="0041464E"/>
    <w:rsid w:val="0041574E"/>
    <w:rsid w:val="00420675"/>
    <w:rsid w:val="004211DC"/>
    <w:rsid w:val="0042189C"/>
    <w:rsid w:val="00426EB6"/>
    <w:rsid w:val="0043098E"/>
    <w:rsid w:val="0043218B"/>
    <w:rsid w:val="004331F2"/>
    <w:rsid w:val="00434036"/>
    <w:rsid w:val="00436204"/>
    <w:rsid w:val="00436AF4"/>
    <w:rsid w:val="00436EFD"/>
    <w:rsid w:val="0044017C"/>
    <w:rsid w:val="004408BD"/>
    <w:rsid w:val="00443A40"/>
    <w:rsid w:val="00443F8B"/>
    <w:rsid w:val="004449E2"/>
    <w:rsid w:val="00444D64"/>
    <w:rsid w:val="004507AD"/>
    <w:rsid w:val="004519DE"/>
    <w:rsid w:val="00457707"/>
    <w:rsid w:val="0046080B"/>
    <w:rsid w:val="00460CAC"/>
    <w:rsid w:val="00461CCB"/>
    <w:rsid w:val="00463B1C"/>
    <w:rsid w:val="00464259"/>
    <w:rsid w:val="00466216"/>
    <w:rsid w:val="00467155"/>
    <w:rsid w:val="00472313"/>
    <w:rsid w:val="004760B7"/>
    <w:rsid w:val="0047645A"/>
    <w:rsid w:val="004814A3"/>
    <w:rsid w:val="00481B39"/>
    <w:rsid w:val="00481C15"/>
    <w:rsid w:val="00482504"/>
    <w:rsid w:val="00483CF7"/>
    <w:rsid w:val="00484E2B"/>
    <w:rsid w:val="004851A4"/>
    <w:rsid w:val="004858EB"/>
    <w:rsid w:val="00487728"/>
    <w:rsid w:val="0049026D"/>
    <w:rsid w:val="00491A0C"/>
    <w:rsid w:val="00493244"/>
    <w:rsid w:val="004A1047"/>
    <w:rsid w:val="004A2A7E"/>
    <w:rsid w:val="004A46A0"/>
    <w:rsid w:val="004A5D32"/>
    <w:rsid w:val="004A71A0"/>
    <w:rsid w:val="004B23FB"/>
    <w:rsid w:val="004B40CA"/>
    <w:rsid w:val="004B5880"/>
    <w:rsid w:val="004C6131"/>
    <w:rsid w:val="004D3668"/>
    <w:rsid w:val="004D3AC9"/>
    <w:rsid w:val="004D622D"/>
    <w:rsid w:val="004D68F9"/>
    <w:rsid w:val="004E0015"/>
    <w:rsid w:val="004E1953"/>
    <w:rsid w:val="004E3064"/>
    <w:rsid w:val="004F335C"/>
    <w:rsid w:val="004F39FB"/>
    <w:rsid w:val="004F4953"/>
    <w:rsid w:val="004F510E"/>
    <w:rsid w:val="004F6B58"/>
    <w:rsid w:val="004F6EF1"/>
    <w:rsid w:val="004F7B7E"/>
    <w:rsid w:val="00501688"/>
    <w:rsid w:val="005027DF"/>
    <w:rsid w:val="005057AE"/>
    <w:rsid w:val="005057E0"/>
    <w:rsid w:val="00510DC9"/>
    <w:rsid w:val="00512990"/>
    <w:rsid w:val="0051403F"/>
    <w:rsid w:val="0052195D"/>
    <w:rsid w:val="00522006"/>
    <w:rsid w:val="00522B25"/>
    <w:rsid w:val="00525585"/>
    <w:rsid w:val="00526CD3"/>
    <w:rsid w:val="00527789"/>
    <w:rsid w:val="005277F7"/>
    <w:rsid w:val="005303A6"/>
    <w:rsid w:val="005307DB"/>
    <w:rsid w:val="0053137F"/>
    <w:rsid w:val="00534D7A"/>
    <w:rsid w:val="00536BD0"/>
    <w:rsid w:val="00537988"/>
    <w:rsid w:val="005401C0"/>
    <w:rsid w:val="005408B7"/>
    <w:rsid w:val="00542DDA"/>
    <w:rsid w:val="0054341A"/>
    <w:rsid w:val="00561428"/>
    <w:rsid w:val="00561FB2"/>
    <w:rsid w:val="005620D6"/>
    <w:rsid w:val="00571430"/>
    <w:rsid w:val="00571862"/>
    <w:rsid w:val="00576193"/>
    <w:rsid w:val="0057697F"/>
    <w:rsid w:val="00580229"/>
    <w:rsid w:val="005803A8"/>
    <w:rsid w:val="0058295D"/>
    <w:rsid w:val="00584E0F"/>
    <w:rsid w:val="005877E8"/>
    <w:rsid w:val="00592DBF"/>
    <w:rsid w:val="00593C41"/>
    <w:rsid w:val="00597182"/>
    <w:rsid w:val="005A522F"/>
    <w:rsid w:val="005A5BBF"/>
    <w:rsid w:val="005A5BF5"/>
    <w:rsid w:val="005B0DAF"/>
    <w:rsid w:val="005C01FA"/>
    <w:rsid w:val="005C11C4"/>
    <w:rsid w:val="005C1213"/>
    <w:rsid w:val="005C1EE1"/>
    <w:rsid w:val="005C3768"/>
    <w:rsid w:val="005C4E73"/>
    <w:rsid w:val="005C534C"/>
    <w:rsid w:val="005C6AF9"/>
    <w:rsid w:val="005D00BD"/>
    <w:rsid w:val="005D3806"/>
    <w:rsid w:val="005E0EE4"/>
    <w:rsid w:val="005E15DF"/>
    <w:rsid w:val="005E175C"/>
    <w:rsid w:val="005E2743"/>
    <w:rsid w:val="005E6978"/>
    <w:rsid w:val="005E69E5"/>
    <w:rsid w:val="005E6EAD"/>
    <w:rsid w:val="005F2112"/>
    <w:rsid w:val="005F31C7"/>
    <w:rsid w:val="005F4D16"/>
    <w:rsid w:val="00600C88"/>
    <w:rsid w:val="00600D7C"/>
    <w:rsid w:val="00602EA5"/>
    <w:rsid w:val="00603320"/>
    <w:rsid w:val="00603850"/>
    <w:rsid w:val="00603F97"/>
    <w:rsid w:val="006041B2"/>
    <w:rsid w:val="00607110"/>
    <w:rsid w:val="00613DCC"/>
    <w:rsid w:val="00614B58"/>
    <w:rsid w:val="00623BF3"/>
    <w:rsid w:val="00624EE2"/>
    <w:rsid w:val="0062708D"/>
    <w:rsid w:val="006273F2"/>
    <w:rsid w:val="00631EA8"/>
    <w:rsid w:val="0063338A"/>
    <w:rsid w:val="00641653"/>
    <w:rsid w:val="00641A67"/>
    <w:rsid w:val="00641C6B"/>
    <w:rsid w:val="0064291A"/>
    <w:rsid w:val="00642940"/>
    <w:rsid w:val="00642F51"/>
    <w:rsid w:val="00643978"/>
    <w:rsid w:val="00647644"/>
    <w:rsid w:val="0064771B"/>
    <w:rsid w:val="00651F82"/>
    <w:rsid w:val="0065466B"/>
    <w:rsid w:val="00656D19"/>
    <w:rsid w:val="00662B0A"/>
    <w:rsid w:val="00663521"/>
    <w:rsid w:val="00664B43"/>
    <w:rsid w:val="00664D0D"/>
    <w:rsid w:val="006726EE"/>
    <w:rsid w:val="00673AE7"/>
    <w:rsid w:val="00674CEA"/>
    <w:rsid w:val="0067561A"/>
    <w:rsid w:val="00677BDE"/>
    <w:rsid w:val="00681B07"/>
    <w:rsid w:val="00681D4A"/>
    <w:rsid w:val="00683B44"/>
    <w:rsid w:val="00687423"/>
    <w:rsid w:val="0068772A"/>
    <w:rsid w:val="00687855"/>
    <w:rsid w:val="00691BB9"/>
    <w:rsid w:val="00692860"/>
    <w:rsid w:val="00696C0B"/>
    <w:rsid w:val="00696F1A"/>
    <w:rsid w:val="00697070"/>
    <w:rsid w:val="006A6436"/>
    <w:rsid w:val="006A7980"/>
    <w:rsid w:val="006B3BE6"/>
    <w:rsid w:val="006B74C5"/>
    <w:rsid w:val="006B77EA"/>
    <w:rsid w:val="006C0485"/>
    <w:rsid w:val="006C31F7"/>
    <w:rsid w:val="006C3EAC"/>
    <w:rsid w:val="006C4E72"/>
    <w:rsid w:val="006C5C7C"/>
    <w:rsid w:val="006C5DE7"/>
    <w:rsid w:val="006D10D2"/>
    <w:rsid w:val="006D20F9"/>
    <w:rsid w:val="006D2E5B"/>
    <w:rsid w:val="006D3F77"/>
    <w:rsid w:val="006D72DE"/>
    <w:rsid w:val="006D7EDC"/>
    <w:rsid w:val="006E5497"/>
    <w:rsid w:val="006E6209"/>
    <w:rsid w:val="006F0A6A"/>
    <w:rsid w:val="006F170C"/>
    <w:rsid w:val="006F1A73"/>
    <w:rsid w:val="006F20D0"/>
    <w:rsid w:val="006F5D24"/>
    <w:rsid w:val="0070335F"/>
    <w:rsid w:val="007065D7"/>
    <w:rsid w:val="00707B70"/>
    <w:rsid w:val="007104BE"/>
    <w:rsid w:val="007146FD"/>
    <w:rsid w:val="007206DC"/>
    <w:rsid w:val="007227BA"/>
    <w:rsid w:val="00722DFA"/>
    <w:rsid w:val="00726EE5"/>
    <w:rsid w:val="00731A4E"/>
    <w:rsid w:val="00732DE7"/>
    <w:rsid w:val="007428AA"/>
    <w:rsid w:val="007458BF"/>
    <w:rsid w:val="00746ED8"/>
    <w:rsid w:val="007479E8"/>
    <w:rsid w:val="00751BE9"/>
    <w:rsid w:val="007527BB"/>
    <w:rsid w:val="007531F3"/>
    <w:rsid w:val="00755AF9"/>
    <w:rsid w:val="00755EEF"/>
    <w:rsid w:val="00760289"/>
    <w:rsid w:val="0076062B"/>
    <w:rsid w:val="00761399"/>
    <w:rsid w:val="007658F7"/>
    <w:rsid w:val="0076596D"/>
    <w:rsid w:val="00766174"/>
    <w:rsid w:val="0076711D"/>
    <w:rsid w:val="0077066E"/>
    <w:rsid w:val="00772977"/>
    <w:rsid w:val="00772A70"/>
    <w:rsid w:val="007732DE"/>
    <w:rsid w:val="00773DAC"/>
    <w:rsid w:val="0077455E"/>
    <w:rsid w:val="00777264"/>
    <w:rsid w:val="00781F5D"/>
    <w:rsid w:val="007833E9"/>
    <w:rsid w:val="00785042"/>
    <w:rsid w:val="0078644D"/>
    <w:rsid w:val="007879F4"/>
    <w:rsid w:val="007904D5"/>
    <w:rsid w:val="00791142"/>
    <w:rsid w:val="0079175F"/>
    <w:rsid w:val="00791BA4"/>
    <w:rsid w:val="007922E0"/>
    <w:rsid w:val="007A3946"/>
    <w:rsid w:val="007A55A9"/>
    <w:rsid w:val="007A6B67"/>
    <w:rsid w:val="007A7D2D"/>
    <w:rsid w:val="007B2362"/>
    <w:rsid w:val="007B418D"/>
    <w:rsid w:val="007B4475"/>
    <w:rsid w:val="007B4BBF"/>
    <w:rsid w:val="007B7134"/>
    <w:rsid w:val="007C05F1"/>
    <w:rsid w:val="007C0E92"/>
    <w:rsid w:val="007CD7E9"/>
    <w:rsid w:val="007D0902"/>
    <w:rsid w:val="007D2A04"/>
    <w:rsid w:val="007D42FE"/>
    <w:rsid w:val="007D5318"/>
    <w:rsid w:val="007D7657"/>
    <w:rsid w:val="007E5042"/>
    <w:rsid w:val="007E56C5"/>
    <w:rsid w:val="007E7252"/>
    <w:rsid w:val="007F4025"/>
    <w:rsid w:val="007F4F96"/>
    <w:rsid w:val="007F62BE"/>
    <w:rsid w:val="007F70D4"/>
    <w:rsid w:val="00800A61"/>
    <w:rsid w:val="00801403"/>
    <w:rsid w:val="00803FAB"/>
    <w:rsid w:val="00806A50"/>
    <w:rsid w:val="008106A4"/>
    <w:rsid w:val="00810AD4"/>
    <w:rsid w:val="00813CAE"/>
    <w:rsid w:val="0081483E"/>
    <w:rsid w:val="0081561E"/>
    <w:rsid w:val="00817D4A"/>
    <w:rsid w:val="0082210E"/>
    <w:rsid w:val="00822830"/>
    <w:rsid w:val="008244F8"/>
    <w:rsid w:val="0082494E"/>
    <w:rsid w:val="008267B3"/>
    <w:rsid w:val="0082735F"/>
    <w:rsid w:val="00827F49"/>
    <w:rsid w:val="00830662"/>
    <w:rsid w:val="00830C25"/>
    <w:rsid w:val="008328E6"/>
    <w:rsid w:val="0083370C"/>
    <w:rsid w:val="00834A36"/>
    <w:rsid w:val="00837B44"/>
    <w:rsid w:val="00841AED"/>
    <w:rsid w:val="0084591D"/>
    <w:rsid w:val="0084642A"/>
    <w:rsid w:val="00847640"/>
    <w:rsid w:val="008515EF"/>
    <w:rsid w:val="00852EDC"/>
    <w:rsid w:val="008545E7"/>
    <w:rsid w:val="0085487C"/>
    <w:rsid w:val="00856BEA"/>
    <w:rsid w:val="0086019D"/>
    <w:rsid w:val="008611B9"/>
    <w:rsid w:val="008647DA"/>
    <w:rsid w:val="008674BC"/>
    <w:rsid w:val="008704CA"/>
    <w:rsid w:val="008717F0"/>
    <w:rsid w:val="00873128"/>
    <w:rsid w:val="0087437D"/>
    <w:rsid w:val="008819EC"/>
    <w:rsid w:val="008825DB"/>
    <w:rsid w:val="008852E5"/>
    <w:rsid w:val="00885548"/>
    <w:rsid w:val="00890E1D"/>
    <w:rsid w:val="008A3723"/>
    <w:rsid w:val="008A37FB"/>
    <w:rsid w:val="008A3AD8"/>
    <w:rsid w:val="008B055D"/>
    <w:rsid w:val="008B1629"/>
    <w:rsid w:val="008B2990"/>
    <w:rsid w:val="008B2F2D"/>
    <w:rsid w:val="008B3715"/>
    <w:rsid w:val="008B3E8A"/>
    <w:rsid w:val="008B3F5F"/>
    <w:rsid w:val="008B6836"/>
    <w:rsid w:val="008B691F"/>
    <w:rsid w:val="008C2480"/>
    <w:rsid w:val="008C2535"/>
    <w:rsid w:val="008C45A5"/>
    <w:rsid w:val="008C614B"/>
    <w:rsid w:val="008C6850"/>
    <w:rsid w:val="008C7A67"/>
    <w:rsid w:val="008D0B8B"/>
    <w:rsid w:val="008D1F68"/>
    <w:rsid w:val="008D23B1"/>
    <w:rsid w:val="008D33A5"/>
    <w:rsid w:val="008D4B65"/>
    <w:rsid w:val="008D6EA9"/>
    <w:rsid w:val="008D7F27"/>
    <w:rsid w:val="008E382B"/>
    <w:rsid w:val="008E5FB5"/>
    <w:rsid w:val="008F2D2D"/>
    <w:rsid w:val="008F4FA6"/>
    <w:rsid w:val="008F590F"/>
    <w:rsid w:val="009005B4"/>
    <w:rsid w:val="009008B8"/>
    <w:rsid w:val="0090168D"/>
    <w:rsid w:val="00902949"/>
    <w:rsid w:val="0090402B"/>
    <w:rsid w:val="00904180"/>
    <w:rsid w:val="00907BAF"/>
    <w:rsid w:val="00907C68"/>
    <w:rsid w:val="009122DD"/>
    <w:rsid w:val="00912F71"/>
    <w:rsid w:val="0091724F"/>
    <w:rsid w:val="00920564"/>
    <w:rsid w:val="00920AA7"/>
    <w:rsid w:val="00920EDD"/>
    <w:rsid w:val="00921131"/>
    <w:rsid w:val="00922058"/>
    <w:rsid w:val="00922A68"/>
    <w:rsid w:val="00924728"/>
    <w:rsid w:val="0092519D"/>
    <w:rsid w:val="00926833"/>
    <w:rsid w:val="00930AB1"/>
    <w:rsid w:val="00931563"/>
    <w:rsid w:val="009316D0"/>
    <w:rsid w:val="00944E17"/>
    <w:rsid w:val="00946872"/>
    <w:rsid w:val="00946D8B"/>
    <w:rsid w:val="00952414"/>
    <w:rsid w:val="0095437C"/>
    <w:rsid w:val="00957725"/>
    <w:rsid w:val="00957CBB"/>
    <w:rsid w:val="0096295C"/>
    <w:rsid w:val="00965FAD"/>
    <w:rsid w:val="00966D67"/>
    <w:rsid w:val="009678A8"/>
    <w:rsid w:val="00974A4E"/>
    <w:rsid w:val="009844BC"/>
    <w:rsid w:val="00985838"/>
    <w:rsid w:val="0099012C"/>
    <w:rsid w:val="00990730"/>
    <w:rsid w:val="00991DA4"/>
    <w:rsid w:val="009940FE"/>
    <w:rsid w:val="0099499C"/>
    <w:rsid w:val="00994E38"/>
    <w:rsid w:val="00995FF3"/>
    <w:rsid w:val="00996460"/>
    <w:rsid w:val="009966CA"/>
    <w:rsid w:val="009A04EA"/>
    <w:rsid w:val="009A52C0"/>
    <w:rsid w:val="009A6445"/>
    <w:rsid w:val="009B286F"/>
    <w:rsid w:val="009B4113"/>
    <w:rsid w:val="009B5182"/>
    <w:rsid w:val="009B5FE8"/>
    <w:rsid w:val="009B7B9A"/>
    <w:rsid w:val="009BD454"/>
    <w:rsid w:val="009C3327"/>
    <w:rsid w:val="009C46AA"/>
    <w:rsid w:val="009C5E98"/>
    <w:rsid w:val="009C71C4"/>
    <w:rsid w:val="009D07CD"/>
    <w:rsid w:val="009D18BE"/>
    <w:rsid w:val="009D3741"/>
    <w:rsid w:val="009E689F"/>
    <w:rsid w:val="009F041B"/>
    <w:rsid w:val="009F336D"/>
    <w:rsid w:val="009F36E1"/>
    <w:rsid w:val="009F39FD"/>
    <w:rsid w:val="009F5403"/>
    <w:rsid w:val="00A02AEE"/>
    <w:rsid w:val="00A04933"/>
    <w:rsid w:val="00A04A37"/>
    <w:rsid w:val="00A0648C"/>
    <w:rsid w:val="00A06B5B"/>
    <w:rsid w:val="00A073F1"/>
    <w:rsid w:val="00A12F76"/>
    <w:rsid w:val="00A13E8B"/>
    <w:rsid w:val="00A2005C"/>
    <w:rsid w:val="00A273CE"/>
    <w:rsid w:val="00A27634"/>
    <w:rsid w:val="00A27B67"/>
    <w:rsid w:val="00A27CDA"/>
    <w:rsid w:val="00A3142E"/>
    <w:rsid w:val="00A3164F"/>
    <w:rsid w:val="00A31712"/>
    <w:rsid w:val="00A339D9"/>
    <w:rsid w:val="00A35651"/>
    <w:rsid w:val="00A357A5"/>
    <w:rsid w:val="00A362EA"/>
    <w:rsid w:val="00A43BCF"/>
    <w:rsid w:val="00A46E5F"/>
    <w:rsid w:val="00A51318"/>
    <w:rsid w:val="00A54F20"/>
    <w:rsid w:val="00A5516D"/>
    <w:rsid w:val="00A56B70"/>
    <w:rsid w:val="00A6013D"/>
    <w:rsid w:val="00A63407"/>
    <w:rsid w:val="00A64933"/>
    <w:rsid w:val="00A64AAB"/>
    <w:rsid w:val="00A710E7"/>
    <w:rsid w:val="00A72E70"/>
    <w:rsid w:val="00A83071"/>
    <w:rsid w:val="00A83B46"/>
    <w:rsid w:val="00A84AA5"/>
    <w:rsid w:val="00A85230"/>
    <w:rsid w:val="00A8779A"/>
    <w:rsid w:val="00A9302D"/>
    <w:rsid w:val="00A946D6"/>
    <w:rsid w:val="00A9544D"/>
    <w:rsid w:val="00A95A29"/>
    <w:rsid w:val="00A95AD3"/>
    <w:rsid w:val="00AA26A2"/>
    <w:rsid w:val="00AA2E81"/>
    <w:rsid w:val="00AA2F18"/>
    <w:rsid w:val="00AA4B2A"/>
    <w:rsid w:val="00AA642C"/>
    <w:rsid w:val="00AB0012"/>
    <w:rsid w:val="00AB0A57"/>
    <w:rsid w:val="00AB1041"/>
    <w:rsid w:val="00AB1BAC"/>
    <w:rsid w:val="00AC336D"/>
    <w:rsid w:val="00AC56CA"/>
    <w:rsid w:val="00AC56F4"/>
    <w:rsid w:val="00AD0095"/>
    <w:rsid w:val="00AD3641"/>
    <w:rsid w:val="00AE1CFF"/>
    <w:rsid w:val="00AE465D"/>
    <w:rsid w:val="00AE59AA"/>
    <w:rsid w:val="00AE6692"/>
    <w:rsid w:val="00AF196F"/>
    <w:rsid w:val="00AF19E1"/>
    <w:rsid w:val="00AF1A2F"/>
    <w:rsid w:val="00AF215A"/>
    <w:rsid w:val="00AF3FF5"/>
    <w:rsid w:val="00B00442"/>
    <w:rsid w:val="00B006A8"/>
    <w:rsid w:val="00B00EC3"/>
    <w:rsid w:val="00B02812"/>
    <w:rsid w:val="00B10A32"/>
    <w:rsid w:val="00B10BE9"/>
    <w:rsid w:val="00B156A7"/>
    <w:rsid w:val="00B17B06"/>
    <w:rsid w:val="00B20266"/>
    <w:rsid w:val="00B2034D"/>
    <w:rsid w:val="00B2159E"/>
    <w:rsid w:val="00B24120"/>
    <w:rsid w:val="00B25C2E"/>
    <w:rsid w:val="00B26553"/>
    <w:rsid w:val="00B2749B"/>
    <w:rsid w:val="00B276EC"/>
    <w:rsid w:val="00B37E91"/>
    <w:rsid w:val="00B41037"/>
    <w:rsid w:val="00B415E8"/>
    <w:rsid w:val="00B45D69"/>
    <w:rsid w:val="00B46ACA"/>
    <w:rsid w:val="00B46D09"/>
    <w:rsid w:val="00B51000"/>
    <w:rsid w:val="00B52B80"/>
    <w:rsid w:val="00B536E3"/>
    <w:rsid w:val="00B53A8F"/>
    <w:rsid w:val="00B54310"/>
    <w:rsid w:val="00B6088D"/>
    <w:rsid w:val="00B611C7"/>
    <w:rsid w:val="00B62645"/>
    <w:rsid w:val="00B62D9E"/>
    <w:rsid w:val="00B6570E"/>
    <w:rsid w:val="00B707A5"/>
    <w:rsid w:val="00B7252E"/>
    <w:rsid w:val="00B72DD0"/>
    <w:rsid w:val="00B7325E"/>
    <w:rsid w:val="00B74C46"/>
    <w:rsid w:val="00B75792"/>
    <w:rsid w:val="00B81FE0"/>
    <w:rsid w:val="00B82193"/>
    <w:rsid w:val="00B82A24"/>
    <w:rsid w:val="00B834FE"/>
    <w:rsid w:val="00B846E6"/>
    <w:rsid w:val="00B85BEC"/>
    <w:rsid w:val="00B862AF"/>
    <w:rsid w:val="00B86F81"/>
    <w:rsid w:val="00B90999"/>
    <w:rsid w:val="00B9640E"/>
    <w:rsid w:val="00B97D89"/>
    <w:rsid w:val="00BA13B9"/>
    <w:rsid w:val="00BA4577"/>
    <w:rsid w:val="00BB290A"/>
    <w:rsid w:val="00BB3BD1"/>
    <w:rsid w:val="00BB660C"/>
    <w:rsid w:val="00BC0508"/>
    <w:rsid w:val="00BC06D5"/>
    <w:rsid w:val="00BC0D29"/>
    <w:rsid w:val="00BC2B1F"/>
    <w:rsid w:val="00BC5640"/>
    <w:rsid w:val="00BC687C"/>
    <w:rsid w:val="00BD18E3"/>
    <w:rsid w:val="00BD5FFF"/>
    <w:rsid w:val="00BE6F4C"/>
    <w:rsid w:val="00BF00B6"/>
    <w:rsid w:val="00BF05B4"/>
    <w:rsid w:val="00C02EE2"/>
    <w:rsid w:val="00C03A8A"/>
    <w:rsid w:val="00C04FB3"/>
    <w:rsid w:val="00C05031"/>
    <w:rsid w:val="00C057B3"/>
    <w:rsid w:val="00C05D83"/>
    <w:rsid w:val="00C07B5B"/>
    <w:rsid w:val="00C10A0C"/>
    <w:rsid w:val="00C119C4"/>
    <w:rsid w:val="00C1240C"/>
    <w:rsid w:val="00C1297D"/>
    <w:rsid w:val="00C13AE0"/>
    <w:rsid w:val="00C17995"/>
    <w:rsid w:val="00C21179"/>
    <w:rsid w:val="00C211AA"/>
    <w:rsid w:val="00C2370D"/>
    <w:rsid w:val="00C2394A"/>
    <w:rsid w:val="00C278E3"/>
    <w:rsid w:val="00C331C3"/>
    <w:rsid w:val="00C41008"/>
    <w:rsid w:val="00C5085B"/>
    <w:rsid w:val="00C51977"/>
    <w:rsid w:val="00C52A27"/>
    <w:rsid w:val="00C52D05"/>
    <w:rsid w:val="00C53288"/>
    <w:rsid w:val="00C540A8"/>
    <w:rsid w:val="00C609A1"/>
    <w:rsid w:val="00C625D3"/>
    <w:rsid w:val="00C648BB"/>
    <w:rsid w:val="00C64FD1"/>
    <w:rsid w:val="00C65CDA"/>
    <w:rsid w:val="00C722F7"/>
    <w:rsid w:val="00C737AA"/>
    <w:rsid w:val="00C74024"/>
    <w:rsid w:val="00C74D94"/>
    <w:rsid w:val="00C75403"/>
    <w:rsid w:val="00C75E88"/>
    <w:rsid w:val="00C81D4A"/>
    <w:rsid w:val="00C85470"/>
    <w:rsid w:val="00C86050"/>
    <w:rsid w:val="00C86097"/>
    <w:rsid w:val="00C86712"/>
    <w:rsid w:val="00C87BAC"/>
    <w:rsid w:val="00C90006"/>
    <w:rsid w:val="00C9322C"/>
    <w:rsid w:val="00C93B1F"/>
    <w:rsid w:val="00C94063"/>
    <w:rsid w:val="00C95DCD"/>
    <w:rsid w:val="00C9A34B"/>
    <w:rsid w:val="00CA1845"/>
    <w:rsid w:val="00CA2787"/>
    <w:rsid w:val="00CA3959"/>
    <w:rsid w:val="00CA43A7"/>
    <w:rsid w:val="00CA4915"/>
    <w:rsid w:val="00CA7699"/>
    <w:rsid w:val="00CB39AD"/>
    <w:rsid w:val="00CB6565"/>
    <w:rsid w:val="00CB7768"/>
    <w:rsid w:val="00CC1A99"/>
    <w:rsid w:val="00CC2631"/>
    <w:rsid w:val="00CC55B0"/>
    <w:rsid w:val="00CC6E05"/>
    <w:rsid w:val="00CD18D0"/>
    <w:rsid w:val="00CD20A8"/>
    <w:rsid w:val="00CE73D1"/>
    <w:rsid w:val="00CE7491"/>
    <w:rsid w:val="00CF02DA"/>
    <w:rsid w:val="00CF2047"/>
    <w:rsid w:val="00CF2521"/>
    <w:rsid w:val="00CF2B01"/>
    <w:rsid w:val="00CF3BDC"/>
    <w:rsid w:val="00D0062B"/>
    <w:rsid w:val="00D0171D"/>
    <w:rsid w:val="00D03B75"/>
    <w:rsid w:val="00D043EC"/>
    <w:rsid w:val="00D05826"/>
    <w:rsid w:val="00D05FCB"/>
    <w:rsid w:val="00D10C29"/>
    <w:rsid w:val="00D13068"/>
    <w:rsid w:val="00D15FE5"/>
    <w:rsid w:val="00D214EC"/>
    <w:rsid w:val="00D2165C"/>
    <w:rsid w:val="00D3110C"/>
    <w:rsid w:val="00D36265"/>
    <w:rsid w:val="00D36C46"/>
    <w:rsid w:val="00D41D65"/>
    <w:rsid w:val="00D50B07"/>
    <w:rsid w:val="00D50C70"/>
    <w:rsid w:val="00D520D9"/>
    <w:rsid w:val="00D544B7"/>
    <w:rsid w:val="00D64C82"/>
    <w:rsid w:val="00D652B8"/>
    <w:rsid w:val="00D652D3"/>
    <w:rsid w:val="00D71B69"/>
    <w:rsid w:val="00D725A1"/>
    <w:rsid w:val="00D72E48"/>
    <w:rsid w:val="00D75561"/>
    <w:rsid w:val="00D7621C"/>
    <w:rsid w:val="00D7C71E"/>
    <w:rsid w:val="00D82FC5"/>
    <w:rsid w:val="00D8369D"/>
    <w:rsid w:val="00D83E15"/>
    <w:rsid w:val="00D84B15"/>
    <w:rsid w:val="00D8E904"/>
    <w:rsid w:val="00D90291"/>
    <w:rsid w:val="00D903BB"/>
    <w:rsid w:val="00D91C24"/>
    <w:rsid w:val="00D92367"/>
    <w:rsid w:val="00D93D0A"/>
    <w:rsid w:val="00D95524"/>
    <w:rsid w:val="00D9702E"/>
    <w:rsid w:val="00DA226A"/>
    <w:rsid w:val="00DA2D1D"/>
    <w:rsid w:val="00DA31C6"/>
    <w:rsid w:val="00DA39A3"/>
    <w:rsid w:val="00DA39F5"/>
    <w:rsid w:val="00DA6A81"/>
    <w:rsid w:val="00DA752B"/>
    <w:rsid w:val="00DB06B5"/>
    <w:rsid w:val="00DB1751"/>
    <w:rsid w:val="00DB1D70"/>
    <w:rsid w:val="00DB3E72"/>
    <w:rsid w:val="00DB7DE7"/>
    <w:rsid w:val="00DC0C07"/>
    <w:rsid w:val="00DC0EB6"/>
    <w:rsid w:val="00DC1658"/>
    <w:rsid w:val="00DC200E"/>
    <w:rsid w:val="00DC4B2E"/>
    <w:rsid w:val="00DC59AD"/>
    <w:rsid w:val="00DC5C39"/>
    <w:rsid w:val="00DC617D"/>
    <w:rsid w:val="00DC6378"/>
    <w:rsid w:val="00DD1FD3"/>
    <w:rsid w:val="00DD4E90"/>
    <w:rsid w:val="00DE7897"/>
    <w:rsid w:val="00DE7C36"/>
    <w:rsid w:val="00DF1865"/>
    <w:rsid w:val="00DF7198"/>
    <w:rsid w:val="00DF7938"/>
    <w:rsid w:val="00E0204C"/>
    <w:rsid w:val="00E04026"/>
    <w:rsid w:val="00E053D3"/>
    <w:rsid w:val="00E05832"/>
    <w:rsid w:val="00E074FF"/>
    <w:rsid w:val="00E1186C"/>
    <w:rsid w:val="00E14737"/>
    <w:rsid w:val="00E174D0"/>
    <w:rsid w:val="00E236A7"/>
    <w:rsid w:val="00E32292"/>
    <w:rsid w:val="00E33BCB"/>
    <w:rsid w:val="00E34856"/>
    <w:rsid w:val="00E36584"/>
    <w:rsid w:val="00E40FA4"/>
    <w:rsid w:val="00E43208"/>
    <w:rsid w:val="00E43AD8"/>
    <w:rsid w:val="00E44789"/>
    <w:rsid w:val="00E4488D"/>
    <w:rsid w:val="00E46D01"/>
    <w:rsid w:val="00E51158"/>
    <w:rsid w:val="00E513E2"/>
    <w:rsid w:val="00E523D4"/>
    <w:rsid w:val="00E52A2E"/>
    <w:rsid w:val="00E53C45"/>
    <w:rsid w:val="00E553E0"/>
    <w:rsid w:val="00E55C2E"/>
    <w:rsid w:val="00E55F5E"/>
    <w:rsid w:val="00E57E4D"/>
    <w:rsid w:val="00E57F5F"/>
    <w:rsid w:val="00E6198B"/>
    <w:rsid w:val="00E6270D"/>
    <w:rsid w:val="00E62A97"/>
    <w:rsid w:val="00E645FB"/>
    <w:rsid w:val="00E656CD"/>
    <w:rsid w:val="00E65E11"/>
    <w:rsid w:val="00E6651A"/>
    <w:rsid w:val="00E67978"/>
    <w:rsid w:val="00E67B49"/>
    <w:rsid w:val="00E67D45"/>
    <w:rsid w:val="00E72024"/>
    <w:rsid w:val="00E7252B"/>
    <w:rsid w:val="00E73585"/>
    <w:rsid w:val="00E769BD"/>
    <w:rsid w:val="00E81824"/>
    <w:rsid w:val="00E82F7F"/>
    <w:rsid w:val="00E84F58"/>
    <w:rsid w:val="00E85AA7"/>
    <w:rsid w:val="00E87CFB"/>
    <w:rsid w:val="00E91292"/>
    <w:rsid w:val="00E92BED"/>
    <w:rsid w:val="00E93E9E"/>
    <w:rsid w:val="00E9662D"/>
    <w:rsid w:val="00EA237A"/>
    <w:rsid w:val="00EA2FF4"/>
    <w:rsid w:val="00EA63EB"/>
    <w:rsid w:val="00EA6761"/>
    <w:rsid w:val="00EA7A30"/>
    <w:rsid w:val="00EA7AD7"/>
    <w:rsid w:val="00EA7F2E"/>
    <w:rsid w:val="00EB1FBD"/>
    <w:rsid w:val="00EB29BE"/>
    <w:rsid w:val="00EB420A"/>
    <w:rsid w:val="00EB6846"/>
    <w:rsid w:val="00EB77D6"/>
    <w:rsid w:val="00ED0FF4"/>
    <w:rsid w:val="00ED14F1"/>
    <w:rsid w:val="00ED1574"/>
    <w:rsid w:val="00ED1EA8"/>
    <w:rsid w:val="00ED2065"/>
    <w:rsid w:val="00ED2596"/>
    <w:rsid w:val="00ED32F9"/>
    <w:rsid w:val="00ED3640"/>
    <w:rsid w:val="00EE56A4"/>
    <w:rsid w:val="00EE5725"/>
    <w:rsid w:val="00EF3ADC"/>
    <w:rsid w:val="00F02671"/>
    <w:rsid w:val="00F03CA7"/>
    <w:rsid w:val="00F04B91"/>
    <w:rsid w:val="00F04F29"/>
    <w:rsid w:val="00F05668"/>
    <w:rsid w:val="00F05687"/>
    <w:rsid w:val="00F0762B"/>
    <w:rsid w:val="00F13826"/>
    <w:rsid w:val="00F14652"/>
    <w:rsid w:val="00F14FBB"/>
    <w:rsid w:val="00F16C2B"/>
    <w:rsid w:val="00F17995"/>
    <w:rsid w:val="00F207AF"/>
    <w:rsid w:val="00F209DC"/>
    <w:rsid w:val="00F20D8A"/>
    <w:rsid w:val="00F25BC5"/>
    <w:rsid w:val="00F26263"/>
    <w:rsid w:val="00F26AF1"/>
    <w:rsid w:val="00F27FF5"/>
    <w:rsid w:val="00F3388D"/>
    <w:rsid w:val="00F362A9"/>
    <w:rsid w:val="00F40DF6"/>
    <w:rsid w:val="00F445BD"/>
    <w:rsid w:val="00F45C4F"/>
    <w:rsid w:val="00F530BF"/>
    <w:rsid w:val="00F543B7"/>
    <w:rsid w:val="00F60F9D"/>
    <w:rsid w:val="00F63039"/>
    <w:rsid w:val="00F67C0E"/>
    <w:rsid w:val="00F746AE"/>
    <w:rsid w:val="00F74F8D"/>
    <w:rsid w:val="00F769A0"/>
    <w:rsid w:val="00F769CB"/>
    <w:rsid w:val="00F830C8"/>
    <w:rsid w:val="00F8473F"/>
    <w:rsid w:val="00F86777"/>
    <w:rsid w:val="00F8A74B"/>
    <w:rsid w:val="00F9114E"/>
    <w:rsid w:val="00F91E99"/>
    <w:rsid w:val="00F9273E"/>
    <w:rsid w:val="00F94217"/>
    <w:rsid w:val="00FA270B"/>
    <w:rsid w:val="00FA419F"/>
    <w:rsid w:val="00FA5108"/>
    <w:rsid w:val="00FA6CF8"/>
    <w:rsid w:val="00FA6F4A"/>
    <w:rsid w:val="00FA7442"/>
    <w:rsid w:val="00FA7D21"/>
    <w:rsid w:val="00FB06D0"/>
    <w:rsid w:val="00FB1005"/>
    <w:rsid w:val="00FB7711"/>
    <w:rsid w:val="00FC1173"/>
    <w:rsid w:val="00FC28F9"/>
    <w:rsid w:val="00FC3CFB"/>
    <w:rsid w:val="00FC3FE0"/>
    <w:rsid w:val="00FC5966"/>
    <w:rsid w:val="00FD2ADB"/>
    <w:rsid w:val="00FD362A"/>
    <w:rsid w:val="00FD3909"/>
    <w:rsid w:val="00FE088D"/>
    <w:rsid w:val="00FE259C"/>
    <w:rsid w:val="00FE3956"/>
    <w:rsid w:val="00FE5034"/>
    <w:rsid w:val="00FE515C"/>
    <w:rsid w:val="00FE538C"/>
    <w:rsid w:val="00FE6EB1"/>
    <w:rsid w:val="00FE7C45"/>
    <w:rsid w:val="00FF2F2C"/>
    <w:rsid w:val="00FF3022"/>
    <w:rsid w:val="00FF415A"/>
    <w:rsid w:val="0111358A"/>
    <w:rsid w:val="012F71CD"/>
    <w:rsid w:val="01433F68"/>
    <w:rsid w:val="014B68A1"/>
    <w:rsid w:val="01776612"/>
    <w:rsid w:val="017BAF5F"/>
    <w:rsid w:val="019D357B"/>
    <w:rsid w:val="01A0F71B"/>
    <w:rsid w:val="01F9ABE6"/>
    <w:rsid w:val="0207CA00"/>
    <w:rsid w:val="022BAE84"/>
    <w:rsid w:val="02369246"/>
    <w:rsid w:val="025981A6"/>
    <w:rsid w:val="026D4E2F"/>
    <w:rsid w:val="028A6814"/>
    <w:rsid w:val="028F7A79"/>
    <w:rsid w:val="02AFD831"/>
    <w:rsid w:val="02C5528F"/>
    <w:rsid w:val="02C7FE67"/>
    <w:rsid w:val="02DE91C8"/>
    <w:rsid w:val="0323EC76"/>
    <w:rsid w:val="0326EB37"/>
    <w:rsid w:val="0328C077"/>
    <w:rsid w:val="03444D70"/>
    <w:rsid w:val="034A756D"/>
    <w:rsid w:val="034E808D"/>
    <w:rsid w:val="0350659C"/>
    <w:rsid w:val="037602BB"/>
    <w:rsid w:val="0378140D"/>
    <w:rsid w:val="037BFED5"/>
    <w:rsid w:val="038B07B4"/>
    <w:rsid w:val="03B9FE0F"/>
    <w:rsid w:val="03C7A670"/>
    <w:rsid w:val="03D7AC30"/>
    <w:rsid w:val="03FA32BC"/>
    <w:rsid w:val="03FE1ED8"/>
    <w:rsid w:val="040C01C3"/>
    <w:rsid w:val="042B2380"/>
    <w:rsid w:val="043D9CFE"/>
    <w:rsid w:val="043F5A47"/>
    <w:rsid w:val="049DE5FA"/>
    <w:rsid w:val="049FB594"/>
    <w:rsid w:val="04AA1BF7"/>
    <w:rsid w:val="04B0DA99"/>
    <w:rsid w:val="04B6D05B"/>
    <w:rsid w:val="04BE6505"/>
    <w:rsid w:val="04E9E579"/>
    <w:rsid w:val="0513DDB0"/>
    <w:rsid w:val="05148408"/>
    <w:rsid w:val="05175450"/>
    <w:rsid w:val="05258B7A"/>
    <w:rsid w:val="05312013"/>
    <w:rsid w:val="055B5147"/>
    <w:rsid w:val="0579E162"/>
    <w:rsid w:val="0585071D"/>
    <w:rsid w:val="058A1971"/>
    <w:rsid w:val="0594976C"/>
    <w:rsid w:val="05A9B0C7"/>
    <w:rsid w:val="05AEAC0A"/>
    <w:rsid w:val="05B26866"/>
    <w:rsid w:val="05CA7A8E"/>
    <w:rsid w:val="05D3D3BE"/>
    <w:rsid w:val="05E11C2D"/>
    <w:rsid w:val="05E919E9"/>
    <w:rsid w:val="05EBCE81"/>
    <w:rsid w:val="06102BEA"/>
    <w:rsid w:val="061AA423"/>
    <w:rsid w:val="0658555F"/>
    <w:rsid w:val="066754EB"/>
    <w:rsid w:val="068E0D56"/>
    <w:rsid w:val="0694DF5A"/>
    <w:rsid w:val="06A721E8"/>
    <w:rsid w:val="06C29FC2"/>
    <w:rsid w:val="06D7BD34"/>
    <w:rsid w:val="06E5407F"/>
    <w:rsid w:val="06EF045F"/>
    <w:rsid w:val="06FB8BFE"/>
    <w:rsid w:val="0711F832"/>
    <w:rsid w:val="071D053E"/>
    <w:rsid w:val="07274E19"/>
    <w:rsid w:val="0737B9DF"/>
    <w:rsid w:val="07507530"/>
    <w:rsid w:val="0762532A"/>
    <w:rsid w:val="07631B5D"/>
    <w:rsid w:val="078D5852"/>
    <w:rsid w:val="078E7C84"/>
    <w:rsid w:val="079C9133"/>
    <w:rsid w:val="07B93D8B"/>
    <w:rsid w:val="07C5869E"/>
    <w:rsid w:val="07D9B285"/>
    <w:rsid w:val="07DFCFBA"/>
    <w:rsid w:val="08254B47"/>
    <w:rsid w:val="0842B6BE"/>
    <w:rsid w:val="08601E5B"/>
    <w:rsid w:val="08609F98"/>
    <w:rsid w:val="088180F8"/>
    <w:rsid w:val="08B20014"/>
    <w:rsid w:val="08B89226"/>
    <w:rsid w:val="08FD3F02"/>
    <w:rsid w:val="09432911"/>
    <w:rsid w:val="095B7F0F"/>
    <w:rsid w:val="0975316A"/>
    <w:rsid w:val="097A4F2F"/>
    <w:rsid w:val="097A7D10"/>
    <w:rsid w:val="097B5978"/>
    <w:rsid w:val="09985D62"/>
    <w:rsid w:val="09B0BF6D"/>
    <w:rsid w:val="09B0C187"/>
    <w:rsid w:val="09BFC010"/>
    <w:rsid w:val="09C80A0A"/>
    <w:rsid w:val="09D25180"/>
    <w:rsid w:val="09F15F6F"/>
    <w:rsid w:val="09F51104"/>
    <w:rsid w:val="09F68BCA"/>
    <w:rsid w:val="09FF6895"/>
    <w:rsid w:val="0A2FAC57"/>
    <w:rsid w:val="0A3120AC"/>
    <w:rsid w:val="0A3595C0"/>
    <w:rsid w:val="0A397C60"/>
    <w:rsid w:val="0A40C1A0"/>
    <w:rsid w:val="0A6EB1E2"/>
    <w:rsid w:val="0A989094"/>
    <w:rsid w:val="0AAC2660"/>
    <w:rsid w:val="0AD071F8"/>
    <w:rsid w:val="0ADAB527"/>
    <w:rsid w:val="0ADD50FB"/>
    <w:rsid w:val="0B0E0B40"/>
    <w:rsid w:val="0B19F699"/>
    <w:rsid w:val="0B1D3BF9"/>
    <w:rsid w:val="0B2D7510"/>
    <w:rsid w:val="0B5ADB46"/>
    <w:rsid w:val="0B7787DC"/>
    <w:rsid w:val="0B78A04C"/>
    <w:rsid w:val="0B9BC980"/>
    <w:rsid w:val="0BB30A79"/>
    <w:rsid w:val="0BC9258A"/>
    <w:rsid w:val="0BCCD7E6"/>
    <w:rsid w:val="0BE61DA7"/>
    <w:rsid w:val="0C0BAD0E"/>
    <w:rsid w:val="0C1BDFA4"/>
    <w:rsid w:val="0C22F85D"/>
    <w:rsid w:val="0C3776C4"/>
    <w:rsid w:val="0C3AD187"/>
    <w:rsid w:val="0C3F2E5B"/>
    <w:rsid w:val="0C4FB24B"/>
    <w:rsid w:val="0C61B4D0"/>
    <w:rsid w:val="0C649D11"/>
    <w:rsid w:val="0C72C1A8"/>
    <w:rsid w:val="0C73FF8E"/>
    <w:rsid w:val="0C898B9C"/>
    <w:rsid w:val="0C8B8D13"/>
    <w:rsid w:val="0C8E7812"/>
    <w:rsid w:val="0C9DFA18"/>
    <w:rsid w:val="0CAAA082"/>
    <w:rsid w:val="0CB428AD"/>
    <w:rsid w:val="0CE4BF31"/>
    <w:rsid w:val="0CEA02AA"/>
    <w:rsid w:val="0CFAAD9E"/>
    <w:rsid w:val="0D0B2012"/>
    <w:rsid w:val="0D14C32F"/>
    <w:rsid w:val="0D39B0D8"/>
    <w:rsid w:val="0D3C8A08"/>
    <w:rsid w:val="0D465B65"/>
    <w:rsid w:val="0D794175"/>
    <w:rsid w:val="0D885772"/>
    <w:rsid w:val="0D910203"/>
    <w:rsid w:val="0D99C5E0"/>
    <w:rsid w:val="0DA94A7C"/>
    <w:rsid w:val="0DC87570"/>
    <w:rsid w:val="0DCAE67E"/>
    <w:rsid w:val="0DF6E164"/>
    <w:rsid w:val="0E03C4BA"/>
    <w:rsid w:val="0E18E0CE"/>
    <w:rsid w:val="0E1E447E"/>
    <w:rsid w:val="0E2560BC"/>
    <w:rsid w:val="0E271137"/>
    <w:rsid w:val="0E36B9D1"/>
    <w:rsid w:val="0E55BC97"/>
    <w:rsid w:val="0E603BB4"/>
    <w:rsid w:val="0E81E37C"/>
    <w:rsid w:val="0E875E2F"/>
    <w:rsid w:val="0E97DEEA"/>
    <w:rsid w:val="0EA6E57E"/>
    <w:rsid w:val="0EA8DA73"/>
    <w:rsid w:val="0EAD991A"/>
    <w:rsid w:val="0EAF5058"/>
    <w:rsid w:val="0EC35BFC"/>
    <w:rsid w:val="0EC9D132"/>
    <w:rsid w:val="0ED4C40A"/>
    <w:rsid w:val="0EE34953"/>
    <w:rsid w:val="0EF6D839"/>
    <w:rsid w:val="0EF9865E"/>
    <w:rsid w:val="0EFAC22F"/>
    <w:rsid w:val="0F01E064"/>
    <w:rsid w:val="0F2881AE"/>
    <w:rsid w:val="0F2D03C4"/>
    <w:rsid w:val="0F30D10A"/>
    <w:rsid w:val="0F341233"/>
    <w:rsid w:val="0F450BF4"/>
    <w:rsid w:val="0F48215A"/>
    <w:rsid w:val="0F4FC7D6"/>
    <w:rsid w:val="0F70B3F8"/>
    <w:rsid w:val="0F7EFE63"/>
    <w:rsid w:val="0FC06D2E"/>
    <w:rsid w:val="0FD29F72"/>
    <w:rsid w:val="0FD82F7A"/>
    <w:rsid w:val="1014292F"/>
    <w:rsid w:val="1017A940"/>
    <w:rsid w:val="103AE8A4"/>
    <w:rsid w:val="103E1F28"/>
    <w:rsid w:val="1046B5B9"/>
    <w:rsid w:val="10560849"/>
    <w:rsid w:val="106F7CFB"/>
    <w:rsid w:val="107B6180"/>
    <w:rsid w:val="108B9D0D"/>
    <w:rsid w:val="1090F247"/>
    <w:rsid w:val="109231CE"/>
    <w:rsid w:val="10ACC318"/>
    <w:rsid w:val="10B1344C"/>
    <w:rsid w:val="10B81D2C"/>
    <w:rsid w:val="10E40721"/>
    <w:rsid w:val="10F86D27"/>
    <w:rsid w:val="116EEBA1"/>
    <w:rsid w:val="117AC697"/>
    <w:rsid w:val="1184FC25"/>
    <w:rsid w:val="118E1D52"/>
    <w:rsid w:val="11A9AA53"/>
    <w:rsid w:val="11AA3484"/>
    <w:rsid w:val="11ADDE3F"/>
    <w:rsid w:val="11BB33F5"/>
    <w:rsid w:val="11C2DE06"/>
    <w:rsid w:val="120BD38C"/>
    <w:rsid w:val="12706E53"/>
    <w:rsid w:val="12785013"/>
    <w:rsid w:val="1285DDD5"/>
    <w:rsid w:val="12973EFD"/>
    <w:rsid w:val="12A0C10D"/>
    <w:rsid w:val="12B7B402"/>
    <w:rsid w:val="12BBF848"/>
    <w:rsid w:val="12C4EEA3"/>
    <w:rsid w:val="12E124AC"/>
    <w:rsid w:val="12E85EC7"/>
    <w:rsid w:val="1340C945"/>
    <w:rsid w:val="136529B1"/>
    <w:rsid w:val="137E10DB"/>
    <w:rsid w:val="13A8F75B"/>
    <w:rsid w:val="13CD9FE7"/>
    <w:rsid w:val="13E7A540"/>
    <w:rsid w:val="13EBA925"/>
    <w:rsid w:val="1409B559"/>
    <w:rsid w:val="141DBB3D"/>
    <w:rsid w:val="14416B09"/>
    <w:rsid w:val="1446B442"/>
    <w:rsid w:val="146DF128"/>
    <w:rsid w:val="14847A4E"/>
    <w:rsid w:val="14918782"/>
    <w:rsid w:val="1494DFF2"/>
    <w:rsid w:val="149C0780"/>
    <w:rsid w:val="14AD7C91"/>
    <w:rsid w:val="14C89CB3"/>
    <w:rsid w:val="14FEE0CD"/>
    <w:rsid w:val="1506B8D3"/>
    <w:rsid w:val="151BAEC4"/>
    <w:rsid w:val="151FC4E7"/>
    <w:rsid w:val="1522ED2A"/>
    <w:rsid w:val="15427794"/>
    <w:rsid w:val="1561487B"/>
    <w:rsid w:val="15719220"/>
    <w:rsid w:val="157A69C1"/>
    <w:rsid w:val="15994C15"/>
    <w:rsid w:val="159963E0"/>
    <w:rsid w:val="160359C7"/>
    <w:rsid w:val="1611E9A9"/>
    <w:rsid w:val="16297751"/>
    <w:rsid w:val="1630DD44"/>
    <w:rsid w:val="1647A4A8"/>
    <w:rsid w:val="165FCFFD"/>
    <w:rsid w:val="168F781F"/>
    <w:rsid w:val="1692F2FE"/>
    <w:rsid w:val="16974205"/>
    <w:rsid w:val="16C66135"/>
    <w:rsid w:val="16C95EFA"/>
    <w:rsid w:val="16DD3A47"/>
    <w:rsid w:val="16E3BE77"/>
    <w:rsid w:val="16F44784"/>
    <w:rsid w:val="16FC3384"/>
    <w:rsid w:val="170157AE"/>
    <w:rsid w:val="170335D1"/>
    <w:rsid w:val="170D9B49"/>
    <w:rsid w:val="171CD3CA"/>
    <w:rsid w:val="1732DFE5"/>
    <w:rsid w:val="173B36E8"/>
    <w:rsid w:val="174430AE"/>
    <w:rsid w:val="17484793"/>
    <w:rsid w:val="174B8B97"/>
    <w:rsid w:val="1770CD77"/>
    <w:rsid w:val="17A2150C"/>
    <w:rsid w:val="17A498BB"/>
    <w:rsid w:val="17B34B9F"/>
    <w:rsid w:val="17DCBBF1"/>
    <w:rsid w:val="1826F360"/>
    <w:rsid w:val="1840F473"/>
    <w:rsid w:val="18443AF2"/>
    <w:rsid w:val="184BE8ED"/>
    <w:rsid w:val="184CA27B"/>
    <w:rsid w:val="189C38E5"/>
    <w:rsid w:val="18D99E24"/>
    <w:rsid w:val="18E2B03B"/>
    <w:rsid w:val="1909FB5E"/>
    <w:rsid w:val="1968F4B5"/>
    <w:rsid w:val="196E5431"/>
    <w:rsid w:val="198346AE"/>
    <w:rsid w:val="19837E55"/>
    <w:rsid w:val="1993B3E5"/>
    <w:rsid w:val="199A6FBB"/>
    <w:rsid w:val="19A90640"/>
    <w:rsid w:val="19B05337"/>
    <w:rsid w:val="19C1A354"/>
    <w:rsid w:val="19C9231D"/>
    <w:rsid w:val="19CCCCE6"/>
    <w:rsid w:val="1A0B5D61"/>
    <w:rsid w:val="1A38377B"/>
    <w:rsid w:val="1A65D77B"/>
    <w:rsid w:val="1A668E2F"/>
    <w:rsid w:val="1A71B4C2"/>
    <w:rsid w:val="1A906E58"/>
    <w:rsid w:val="1A9519AB"/>
    <w:rsid w:val="1AAE47C9"/>
    <w:rsid w:val="1ADF366A"/>
    <w:rsid w:val="1B06E103"/>
    <w:rsid w:val="1B474D43"/>
    <w:rsid w:val="1B491FCB"/>
    <w:rsid w:val="1B523724"/>
    <w:rsid w:val="1B526651"/>
    <w:rsid w:val="1BDF607A"/>
    <w:rsid w:val="1C1067F4"/>
    <w:rsid w:val="1C20BC7E"/>
    <w:rsid w:val="1C290E0F"/>
    <w:rsid w:val="1C2D3EAE"/>
    <w:rsid w:val="1C53099C"/>
    <w:rsid w:val="1C5748F4"/>
    <w:rsid w:val="1C65276A"/>
    <w:rsid w:val="1C884D66"/>
    <w:rsid w:val="1C8F1320"/>
    <w:rsid w:val="1CB34332"/>
    <w:rsid w:val="1CBD6869"/>
    <w:rsid w:val="1CC8315D"/>
    <w:rsid w:val="1CD66D78"/>
    <w:rsid w:val="1CE555D6"/>
    <w:rsid w:val="1CFC74D2"/>
    <w:rsid w:val="1D176CD6"/>
    <w:rsid w:val="1D3D1F50"/>
    <w:rsid w:val="1D4C1944"/>
    <w:rsid w:val="1D66A225"/>
    <w:rsid w:val="1D7A225A"/>
    <w:rsid w:val="1D836664"/>
    <w:rsid w:val="1D8E227A"/>
    <w:rsid w:val="1D973BE5"/>
    <w:rsid w:val="1DC6624D"/>
    <w:rsid w:val="1DEE220B"/>
    <w:rsid w:val="1DFFDB25"/>
    <w:rsid w:val="1E42A426"/>
    <w:rsid w:val="1E5A3DC8"/>
    <w:rsid w:val="1E653CA9"/>
    <w:rsid w:val="1E69E49D"/>
    <w:rsid w:val="1E6FC0ED"/>
    <w:rsid w:val="1E87D5FB"/>
    <w:rsid w:val="1E925C03"/>
    <w:rsid w:val="1E941477"/>
    <w:rsid w:val="1E9DEAA8"/>
    <w:rsid w:val="1EBBFD04"/>
    <w:rsid w:val="1EC4E429"/>
    <w:rsid w:val="1EE1AB85"/>
    <w:rsid w:val="1EE30EF6"/>
    <w:rsid w:val="1F20960D"/>
    <w:rsid w:val="1F4C5020"/>
    <w:rsid w:val="1F5E03BF"/>
    <w:rsid w:val="1F5F6688"/>
    <w:rsid w:val="1F5F709F"/>
    <w:rsid w:val="1F8300AA"/>
    <w:rsid w:val="1F8BB366"/>
    <w:rsid w:val="1FCCF70D"/>
    <w:rsid w:val="1FDCCD3F"/>
    <w:rsid w:val="200C070B"/>
    <w:rsid w:val="2024198D"/>
    <w:rsid w:val="203C751D"/>
    <w:rsid w:val="203D7E76"/>
    <w:rsid w:val="20456FDB"/>
    <w:rsid w:val="2090190E"/>
    <w:rsid w:val="20AD39DD"/>
    <w:rsid w:val="20BEB259"/>
    <w:rsid w:val="20DCDB16"/>
    <w:rsid w:val="20E7B939"/>
    <w:rsid w:val="20F4CDA8"/>
    <w:rsid w:val="210DEBD7"/>
    <w:rsid w:val="211DC0F3"/>
    <w:rsid w:val="21335FFF"/>
    <w:rsid w:val="2166CE42"/>
    <w:rsid w:val="217AB677"/>
    <w:rsid w:val="218E254C"/>
    <w:rsid w:val="219162D6"/>
    <w:rsid w:val="21A4A7AE"/>
    <w:rsid w:val="21AA5CFD"/>
    <w:rsid w:val="21AF00BF"/>
    <w:rsid w:val="21B29225"/>
    <w:rsid w:val="21CD4DEE"/>
    <w:rsid w:val="21FD8BFC"/>
    <w:rsid w:val="2208AACF"/>
    <w:rsid w:val="22179CEF"/>
    <w:rsid w:val="222CD2FC"/>
    <w:rsid w:val="2242B113"/>
    <w:rsid w:val="225FC4C4"/>
    <w:rsid w:val="226A9124"/>
    <w:rsid w:val="22A9AE24"/>
    <w:rsid w:val="22AEF19D"/>
    <w:rsid w:val="22B59846"/>
    <w:rsid w:val="22B61247"/>
    <w:rsid w:val="22C0A58F"/>
    <w:rsid w:val="22C976BF"/>
    <w:rsid w:val="231A9F1C"/>
    <w:rsid w:val="231F3FB3"/>
    <w:rsid w:val="23399BCF"/>
    <w:rsid w:val="234C5117"/>
    <w:rsid w:val="23672A94"/>
    <w:rsid w:val="23749F9C"/>
    <w:rsid w:val="237F514E"/>
    <w:rsid w:val="23892268"/>
    <w:rsid w:val="23971C90"/>
    <w:rsid w:val="23B3A9FE"/>
    <w:rsid w:val="23D79EF1"/>
    <w:rsid w:val="23E59331"/>
    <w:rsid w:val="23FB2F33"/>
    <w:rsid w:val="23FE0544"/>
    <w:rsid w:val="241C09B5"/>
    <w:rsid w:val="242440C2"/>
    <w:rsid w:val="24246370"/>
    <w:rsid w:val="2426BCA0"/>
    <w:rsid w:val="243ADB77"/>
    <w:rsid w:val="2450A7E7"/>
    <w:rsid w:val="24589642"/>
    <w:rsid w:val="248ABBF9"/>
    <w:rsid w:val="249162B4"/>
    <w:rsid w:val="2497872B"/>
    <w:rsid w:val="24ADFE21"/>
    <w:rsid w:val="24E5E107"/>
    <w:rsid w:val="24E84BAA"/>
    <w:rsid w:val="251DC3CC"/>
    <w:rsid w:val="252D0EB9"/>
    <w:rsid w:val="254DBF62"/>
    <w:rsid w:val="25781535"/>
    <w:rsid w:val="2585679E"/>
    <w:rsid w:val="25883B58"/>
    <w:rsid w:val="25909917"/>
    <w:rsid w:val="259B545A"/>
    <w:rsid w:val="25D94447"/>
    <w:rsid w:val="25F0E845"/>
    <w:rsid w:val="260945E8"/>
    <w:rsid w:val="262C16F4"/>
    <w:rsid w:val="2657A29B"/>
    <w:rsid w:val="26761CAB"/>
    <w:rsid w:val="269BFBA9"/>
    <w:rsid w:val="26A29808"/>
    <w:rsid w:val="26BAF117"/>
    <w:rsid w:val="26BFFC19"/>
    <w:rsid w:val="26C41253"/>
    <w:rsid w:val="2706A941"/>
    <w:rsid w:val="27121892"/>
    <w:rsid w:val="2725BB2C"/>
    <w:rsid w:val="273E620E"/>
    <w:rsid w:val="2752A2A9"/>
    <w:rsid w:val="2765C30D"/>
    <w:rsid w:val="277CBE27"/>
    <w:rsid w:val="27851C95"/>
    <w:rsid w:val="278E4AC8"/>
    <w:rsid w:val="279C34AF"/>
    <w:rsid w:val="27A486F9"/>
    <w:rsid w:val="27B0CDFD"/>
    <w:rsid w:val="27BA0C54"/>
    <w:rsid w:val="27C0EE06"/>
    <w:rsid w:val="27D6009E"/>
    <w:rsid w:val="2817831C"/>
    <w:rsid w:val="281C2A5D"/>
    <w:rsid w:val="282051DD"/>
    <w:rsid w:val="282114CE"/>
    <w:rsid w:val="2836570A"/>
    <w:rsid w:val="284F8319"/>
    <w:rsid w:val="28752E24"/>
    <w:rsid w:val="288028A8"/>
    <w:rsid w:val="289CFCBF"/>
    <w:rsid w:val="28B497DA"/>
    <w:rsid w:val="28BE0846"/>
    <w:rsid w:val="290F0C02"/>
    <w:rsid w:val="2916F4BF"/>
    <w:rsid w:val="291DE2A5"/>
    <w:rsid w:val="2926327D"/>
    <w:rsid w:val="2937358F"/>
    <w:rsid w:val="295939F8"/>
    <w:rsid w:val="295993D6"/>
    <w:rsid w:val="295C6621"/>
    <w:rsid w:val="2977C6E8"/>
    <w:rsid w:val="297E51C7"/>
    <w:rsid w:val="2990413C"/>
    <w:rsid w:val="2996DBFA"/>
    <w:rsid w:val="299F5683"/>
    <w:rsid w:val="29C26AE9"/>
    <w:rsid w:val="29C423F7"/>
    <w:rsid w:val="29C5708E"/>
    <w:rsid w:val="29C5D38D"/>
    <w:rsid w:val="2A1B810F"/>
    <w:rsid w:val="2A49F02E"/>
    <w:rsid w:val="2A5A7F78"/>
    <w:rsid w:val="2A5DC6AC"/>
    <w:rsid w:val="2A5E218F"/>
    <w:rsid w:val="2A964670"/>
    <w:rsid w:val="2ACB941F"/>
    <w:rsid w:val="2AD26A22"/>
    <w:rsid w:val="2B04EB2D"/>
    <w:rsid w:val="2B1D29BB"/>
    <w:rsid w:val="2B1EA03E"/>
    <w:rsid w:val="2B3045CC"/>
    <w:rsid w:val="2B5D62CC"/>
    <w:rsid w:val="2B7F547E"/>
    <w:rsid w:val="2B8CD28E"/>
    <w:rsid w:val="2B93F288"/>
    <w:rsid w:val="2B96E3FE"/>
    <w:rsid w:val="2BD2EFC1"/>
    <w:rsid w:val="2BD98BBD"/>
    <w:rsid w:val="2BE0FD5C"/>
    <w:rsid w:val="2BEC8F80"/>
    <w:rsid w:val="2BF3D468"/>
    <w:rsid w:val="2BFB970B"/>
    <w:rsid w:val="2BFD160C"/>
    <w:rsid w:val="2C0C3088"/>
    <w:rsid w:val="2C4146E2"/>
    <w:rsid w:val="2C4527C2"/>
    <w:rsid w:val="2C6C8657"/>
    <w:rsid w:val="2C6DE936"/>
    <w:rsid w:val="2C7966BA"/>
    <w:rsid w:val="2C7D95CA"/>
    <w:rsid w:val="2C7ED744"/>
    <w:rsid w:val="2C80BDB8"/>
    <w:rsid w:val="2C858B50"/>
    <w:rsid w:val="2C8E077D"/>
    <w:rsid w:val="2C8EDFD5"/>
    <w:rsid w:val="2C92DF20"/>
    <w:rsid w:val="2C958F3F"/>
    <w:rsid w:val="2CCA6280"/>
    <w:rsid w:val="2CDD8846"/>
    <w:rsid w:val="2CF1BF43"/>
    <w:rsid w:val="2CF80677"/>
    <w:rsid w:val="2CF96953"/>
    <w:rsid w:val="2CFD91E4"/>
    <w:rsid w:val="2D1DCF16"/>
    <w:rsid w:val="2D265F13"/>
    <w:rsid w:val="2D2E9877"/>
    <w:rsid w:val="2D506A57"/>
    <w:rsid w:val="2D5BDBEC"/>
    <w:rsid w:val="2D667131"/>
    <w:rsid w:val="2D69E701"/>
    <w:rsid w:val="2D6B9662"/>
    <w:rsid w:val="2DCA9E90"/>
    <w:rsid w:val="2DD53CD4"/>
    <w:rsid w:val="2E1533B4"/>
    <w:rsid w:val="2E194889"/>
    <w:rsid w:val="2E4B3870"/>
    <w:rsid w:val="2E615B12"/>
    <w:rsid w:val="2E800641"/>
    <w:rsid w:val="2E876733"/>
    <w:rsid w:val="2E915392"/>
    <w:rsid w:val="2ECC9F1F"/>
    <w:rsid w:val="2EE663CF"/>
    <w:rsid w:val="2EE896F9"/>
    <w:rsid w:val="2EF36340"/>
    <w:rsid w:val="2F039685"/>
    <w:rsid w:val="2F2737A8"/>
    <w:rsid w:val="2F2A08B9"/>
    <w:rsid w:val="2F2AC44E"/>
    <w:rsid w:val="2F3C6347"/>
    <w:rsid w:val="2F462D10"/>
    <w:rsid w:val="2F4990D2"/>
    <w:rsid w:val="2F78B2F4"/>
    <w:rsid w:val="2F8D0E5C"/>
    <w:rsid w:val="2FA732E2"/>
    <w:rsid w:val="30248336"/>
    <w:rsid w:val="30250EBE"/>
    <w:rsid w:val="3039B595"/>
    <w:rsid w:val="3039D56B"/>
    <w:rsid w:val="303D0136"/>
    <w:rsid w:val="304726C7"/>
    <w:rsid w:val="307927BA"/>
    <w:rsid w:val="30994CE5"/>
    <w:rsid w:val="30D5CC6C"/>
    <w:rsid w:val="30E0D268"/>
    <w:rsid w:val="30E3DB5D"/>
    <w:rsid w:val="30F89DD7"/>
    <w:rsid w:val="30FD5E86"/>
    <w:rsid w:val="314F2E3A"/>
    <w:rsid w:val="315331A9"/>
    <w:rsid w:val="3164D7D6"/>
    <w:rsid w:val="31697082"/>
    <w:rsid w:val="318CB808"/>
    <w:rsid w:val="31A0CBD0"/>
    <w:rsid w:val="31A5EB32"/>
    <w:rsid w:val="31B22D5A"/>
    <w:rsid w:val="31BC3072"/>
    <w:rsid w:val="31D20400"/>
    <w:rsid w:val="31EB3689"/>
    <w:rsid w:val="321B6E3F"/>
    <w:rsid w:val="32248567"/>
    <w:rsid w:val="32264367"/>
    <w:rsid w:val="324CE6E0"/>
    <w:rsid w:val="325402AF"/>
    <w:rsid w:val="3272A0F0"/>
    <w:rsid w:val="32761618"/>
    <w:rsid w:val="3284E270"/>
    <w:rsid w:val="3299A04C"/>
    <w:rsid w:val="32B9A1EE"/>
    <w:rsid w:val="32C88679"/>
    <w:rsid w:val="32CAAABE"/>
    <w:rsid w:val="32ECB767"/>
    <w:rsid w:val="32F4129F"/>
    <w:rsid w:val="33069383"/>
    <w:rsid w:val="330E25D6"/>
    <w:rsid w:val="331534B9"/>
    <w:rsid w:val="333020D1"/>
    <w:rsid w:val="33636F50"/>
    <w:rsid w:val="3365DB34"/>
    <w:rsid w:val="33699A64"/>
    <w:rsid w:val="338AC7DB"/>
    <w:rsid w:val="3394B620"/>
    <w:rsid w:val="339CE4C3"/>
    <w:rsid w:val="339F06BC"/>
    <w:rsid w:val="33FA1892"/>
    <w:rsid w:val="3402ED4A"/>
    <w:rsid w:val="34198305"/>
    <w:rsid w:val="345FF532"/>
    <w:rsid w:val="34632474"/>
    <w:rsid w:val="34678EF3"/>
    <w:rsid w:val="346A9855"/>
    <w:rsid w:val="347FD09E"/>
    <w:rsid w:val="3495F27F"/>
    <w:rsid w:val="34BEBD86"/>
    <w:rsid w:val="34C8688D"/>
    <w:rsid w:val="34C9DA4B"/>
    <w:rsid w:val="34CFDA12"/>
    <w:rsid w:val="34E7CC89"/>
    <w:rsid w:val="34EADB1C"/>
    <w:rsid w:val="34F006FE"/>
    <w:rsid w:val="34F64CBF"/>
    <w:rsid w:val="35300EB4"/>
    <w:rsid w:val="353CD2DF"/>
    <w:rsid w:val="357FDB8A"/>
    <w:rsid w:val="3593DF4D"/>
    <w:rsid w:val="35A7D592"/>
    <w:rsid w:val="35DB9623"/>
    <w:rsid w:val="35ECF62F"/>
    <w:rsid w:val="36623EC0"/>
    <w:rsid w:val="36748E49"/>
    <w:rsid w:val="3677A002"/>
    <w:rsid w:val="3690180A"/>
    <w:rsid w:val="36CC4385"/>
    <w:rsid w:val="36F6C046"/>
    <w:rsid w:val="37013F18"/>
    <w:rsid w:val="3729054B"/>
    <w:rsid w:val="373C8910"/>
    <w:rsid w:val="37434C70"/>
    <w:rsid w:val="376735FB"/>
    <w:rsid w:val="37703A9E"/>
    <w:rsid w:val="3774FC08"/>
    <w:rsid w:val="37769DCC"/>
    <w:rsid w:val="37FCEDAB"/>
    <w:rsid w:val="380A3D2A"/>
    <w:rsid w:val="38438CDB"/>
    <w:rsid w:val="38471D97"/>
    <w:rsid w:val="3852E205"/>
    <w:rsid w:val="389006B4"/>
    <w:rsid w:val="38980BC0"/>
    <w:rsid w:val="38C9536F"/>
    <w:rsid w:val="38E03B82"/>
    <w:rsid w:val="38E3D51C"/>
    <w:rsid w:val="3927A69F"/>
    <w:rsid w:val="39497978"/>
    <w:rsid w:val="394DFE48"/>
    <w:rsid w:val="39597A42"/>
    <w:rsid w:val="398044C8"/>
    <w:rsid w:val="3981C516"/>
    <w:rsid w:val="3985E7E2"/>
    <w:rsid w:val="39884DC3"/>
    <w:rsid w:val="39927EBA"/>
    <w:rsid w:val="39B28450"/>
    <w:rsid w:val="39BA3B70"/>
    <w:rsid w:val="39CD26EC"/>
    <w:rsid w:val="39F0A209"/>
    <w:rsid w:val="39F5A08E"/>
    <w:rsid w:val="3A090CC9"/>
    <w:rsid w:val="3A0AEF8A"/>
    <w:rsid w:val="3A32773F"/>
    <w:rsid w:val="3A375B07"/>
    <w:rsid w:val="3A60A220"/>
    <w:rsid w:val="3A6304C8"/>
    <w:rsid w:val="3A7D241C"/>
    <w:rsid w:val="3A82E5CC"/>
    <w:rsid w:val="3A879CA7"/>
    <w:rsid w:val="3A90B9B1"/>
    <w:rsid w:val="3A954C5C"/>
    <w:rsid w:val="3A95A1CF"/>
    <w:rsid w:val="3ABA62A1"/>
    <w:rsid w:val="3AC976F0"/>
    <w:rsid w:val="3AFDB16A"/>
    <w:rsid w:val="3B0C392D"/>
    <w:rsid w:val="3B18BA15"/>
    <w:rsid w:val="3B1B1DE0"/>
    <w:rsid w:val="3B44FE40"/>
    <w:rsid w:val="3B7823F1"/>
    <w:rsid w:val="3B872835"/>
    <w:rsid w:val="3B948A05"/>
    <w:rsid w:val="3BA4C2E0"/>
    <w:rsid w:val="3BA6582E"/>
    <w:rsid w:val="3BD37012"/>
    <w:rsid w:val="3C1AB29F"/>
    <w:rsid w:val="3C1C0E34"/>
    <w:rsid w:val="3C32F017"/>
    <w:rsid w:val="3C3F1DF3"/>
    <w:rsid w:val="3C9F4B8F"/>
    <w:rsid w:val="3C9F73A0"/>
    <w:rsid w:val="3CAF1B8D"/>
    <w:rsid w:val="3CB72802"/>
    <w:rsid w:val="3CBEBB85"/>
    <w:rsid w:val="3CC78CC5"/>
    <w:rsid w:val="3CD8E5DD"/>
    <w:rsid w:val="3CFF9C16"/>
    <w:rsid w:val="3D1132D7"/>
    <w:rsid w:val="3D13993F"/>
    <w:rsid w:val="3D2974BC"/>
    <w:rsid w:val="3D3545BE"/>
    <w:rsid w:val="3D3757A1"/>
    <w:rsid w:val="3D3FD21D"/>
    <w:rsid w:val="3D7451E7"/>
    <w:rsid w:val="3D770C7A"/>
    <w:rsid w:val="3DB45E3D"/>
    <w:rsid w:val="3DBC1DC6"/>
    <w:rsid w:val="3DBF2FCF"/>
    <w:rsid w:val="3DC677CB"/>
    <w:rsid w:val="3E0AE4A2"/>
    <w:rsid w:val="3E2A3C68"/>
    <w:rsid w:val="3E3959B6"/>
    <w:rsid w:val="3E4C00C0"/>
    <w:rsid w:val="3E738F6E"/>
    <w:rsid w:val="3E92A178"/>
    <w:rsid w:val="3EB72639"/>
    <w:rsid w:val="3EB98F87"/>
    <w:rsid w:val="3EC53ABA"/>
    <w:rsid w:val="3ECBCD64"/>
    <w:rsid w:val="3F04CEBC"/>
    <w:rsid w:val="3F088CEE"/>
    <w:rsid w:val="3F2292B0"/>
    <w:rsid w:val="3F4D5403"/>
    <w:rsid w:val="3FAF4F0D"/>
    <w:rsid w:val="3FB2C646"/>
    <w:rsid w:val="3FB3D0C7"/>
    <w:rsid w:val="3FB4BB36"/>
    <w:rsid w:val="3FD1428E"/>
    <w:rsid w:val="3FD31640"/>
    <w:rsid w:val="3FD6803F"/>
    <w:rsid w:val="3FD6F863"/>
    <w:rsid w:val="3FECB931"/>
    <w:rsid w:val="3FEECAF9"/>
    <w:rsid w:val="3FFA0E81"/>
    <w:rsid w:val="4018BF75"/>
    <w:rsid w:val="402C5256"/>
    <w:rsid w:val="40666F9C"/>
    <w:rsid w:val="4073D5B4"/>
    <w:rsid w:val="40769A0F"/>
    <w:rsid w:val="408C9F3F"/>
    <w:rsid w:val="4098B9A4"/>
    <w:rsid w:val="409DAEA0"/>
    <w:rsid w:val="40A0B3D7"/>
    <w:rsid w:val="40BD732F"/>
    <w:rsid w:val="40C6B0EA"/>
    <w:rsid w:val="40CB776C"/>
    <w:rsid w:val="40E1F3EE"/>
    <w:rsid w:val="40E23DFD"/>
    <w:rsid w:val="4129FCBD"/>
    <w:rsid w:val="413D143E"/>
    <w:rsid w:val="417C1BB6"/>
    <w:rsid w:val="418CEFF2"/>
    <w:rsid w:val="41A74970"/>
    <w:rsid w:val="41BB8594"/>
    <w:rsid w:val="41C731AF"/>
    <w:rsid w:val="41D6E316"/>
    <w:rsid w:val="41E6886A"/>
    <w:rsid w:val="41F2459E"/>
    <w:rsid w:val="41F3F3F1"/>
    <w:rsid w:val="41F5D451"/>
    <w:rsid w:val="422451E3"/>
    <w:rsid w:val="423604EE"/>
    <w:rsid w:val="424B8C69"/>
    <w:rsid w:val="424D4104"/>
    <w:rsid w:val="4255183E"/>
    <w:rsid w:val="42674551"/>
    <w:rsid w:val="42721294"/>
    <w:rsid w:val="428249CF"/>
    <w:rsid w:val="42C2A742"/>
    <w:rsid w:val="42CE5F7C"/>
    <w:rsid w:val="42D07A48"/>
    <w:rsid w:val="42DF67FD"/>
    <w:rsid w:val="42EE71BF"/>
    <w:rsid w:val="42EFAF3E"/>
    <w:rsid w:val="42FDCBAC"/>
    <w:rsid w:val="430525C0"/>
    <w:rsid w:val="430BC121"/>
    <w:rsid w:val="431B3ED7"/>
    <w:rsid w:val="4328BABE"/>
    <w:rsid w:val="432E6828"/>
    <w:rsid w:val="43306B4D"/>
    <w:rsid w:val="4342A7B9"/>
    <w:rsid w:val="43476D60"/>
    <w:rsid w:val="434C74C1"/>
    <w:rsid w:val="434FC24D"/>
    <w:rsid w:val="4355E35E"/>
    <w:rsid w:val="4372AD92"/>
    <w:rsid w:val="437B5FAE"/>
    <w:rsid w:val="438C9E5E"/>
    <w:rsid w:val="4396792F"/>
    <w:rsid w:val="439C4453"/>
    <w:rsid w:val="43A98F17"/>
    <w:rsid w:val="43C21F1F"/>
    <w:rsid w:val="43E96861"/>
    <w:rsid w:val="43F59ADC"/>
    <w:rsid w:val="4416AAAD"/>
    <w:rsid w:val="445BB553"/>
    <w:rsid w:val="445E7F41"/>
    <w:rsid w:val="4470B701"/>
    <w:rsid w:val="447E6FEC"/>
    <w:rsid w:val="4485AB9F"/>
    <w:rsid w:val="4499C04E"/>
    <w:rsid w:val="449C3A3C"/>
    <w:rsid w:val="44B17500"/>
    <w:rsid w:val="44CF0EDD"/>
    <w:rsid w:val="44D11C86"/>
    <w:rsid w:val="44DE52A6"/>
    <w:rsid w:val="450CE768"/>
    <w:rsid w:val="450E3082"/>
    <w:rsid w:val="4520A287"/>
    <w:rsid w:val="452603C9"/>
    <w:rsid w:val="452861DB"/>
    <w:rsid w:val="457290FE"/>
    <w:rsid w:val="4573E8F5"/>
    <w:rsid w:val="4576D74D"/>
    <w:rsid w:val="457EFB81"/>
    <w:rsid w:val="459E9002"/>
    <w:rsid w:val="459F47D6"/>
    <w:rsid w:val="45A762E4"/>
    <w:rsid w:val="45B33800"/>
    <w:rsid w:val="45C58E5B"/>
    <w:rsid w:val="45F2BA5A"/>
    <w:rsid w:val="460545E6"/>
    <w:rsid w:val="46105AC9"/>
    <w:rsid w:val="461EB3DB"/>
    <w:rsid w:val="4624493E"/>
    <w:rsid w:val="4626634D"/>
    <w:rsid w:val="46298ECD"/>
    <w:rsid w:val="462A0998"/>
    <w:rsid w:val="464A7A84"/>
    <w:rsid w:val="4677F844"/>
    <w:rsid w:val="469CD68F"/>
    <w:rsid w:val="46A55E62"/>
    <w:rsid w:val="46B22374"/>
    <w:rsid w:val="46C10D05"/>
    <w:rsid w:val="46D792FA"/>
    <w:rsid w:val="46E3D89F"/>
    <w:rsid w:val="46EDE56E"/>
    <w:rsid w:val="46F10EA3"/>
    <w:rsid w:val="47348627"/>
    <w:rsid w:val="473D91CA"/>
    <w:rsid w:val="473DE1C8"/>
    <w:rsid w:val="47480887"/>
    <w:rsid w:val="4749460E"/>
    <w:rsid w:val="475E566D"/>
    <w:rsid w:val="4761C8B9"/>
    <w:rsid w:val="476A8E3F"/>
    <w:rsid w:val="476BBA35"/>
    <w:rsid w:val="477CCB87"/>
    <w:rsid w:val="479760F9"/>
    <w:rsid w:val="47C9BD80"/>
    <w:rsid w:val="47CA89C1"/>
    <w:rsid w:val="47DF02E2"/>
    <w:rsid w:val="47DF9DF1"/>
    <w:rsid w:val="4803DC83"/>
    <w:rsid w:val="48412FD7"/>
    <w:rsid w:val="4851F362"/>
    <w:rsid w:val="485ECF31"/>
    <w:rsid w:val="4868D299"/>
    <w:rsid w:val="486B1C30"/>
    <w:rsid w:val="4873E73E"/>
    <w:rsid w:val="489FDDA5"/>
    <w:rsid w:val="48A52499"/>
    <w:rsid w:val="48B32A50"/>
    <w:rsid w:val="48B68835"/>
    <w:rsid w:val="48C082AB"/>
    <w:rsid w:val="490C6B37"/>
    <w:rsid w:val="4932B978"/>
    <w:rsid w:val="4958AB21"/>
    <w:rsid w:val="495DCAF7"/>
    <w:rsid w:val="49865A8A"/>
    <w:rsid w:val="498C4495"/>
    <w:rsid w:val="49945D61"/>
    <w:rsid w:val="49D5EFA2"/>
    <w:rsid w:val="49E5BC6E"/>
    <w:rsid w:val="49F4F0BF"/>
    <w:rsid w:val="4A0B1BB3"/>
    <w:rsid w:val="4A1E56C4"/>
    <w:rsid w:val="4A25D0EC"/>
    <w:rsid w:val="4A295B02"/>
    <w:rsid w:val="4A2A3722"/>
    <w:rsid w:val="4A3A3C58"/>
    <w:rsid w:val="4A446180"/>
    <w:rsid w:val="4A586DDC"/>
    <w:rsid w:val="4A5C2581"/>
    <w:rsid w:val="4A6868D5"/>
    <w:rsid w:val="4A7A8AC5"/>
    <w:rsid w:val="4A89B924"/>
    <w:rsid w:val="4A9DADA7"/>
    <w:rsid w:val="4AA24CAB"/>
    <w:rsid w:val="4AC1EA36"/>
    <w:rsid w:val="4ACA5418"/>
    <w:rsid w:val="4AD203AC"/>
    <w:rsid w:val="4AD61BD6"/>
    <w:rsid w:val="4AE2854D"/>
    <w:rsid w:val="4AE5B4CC"/>
    <w:rsid w:val="4AEF5885"/>
    <w:rsid w:val="4AF24110"/>
    <w:rsid w:val="4AF41C8C"/>
    <w:rsid w:val="4B0CBCFF"/>
    <w:rsid w:val="4B0CDC79"/>
    <w:rsid w:val="4B0E55BA"/>
    <w:rsid w:val="4B1E21FD"/>
    <w:rsid w:val="4B22C8C1"/>
    <w:rsid w:val="4B2B5BE7"/>
    <w:rsid w:val="4B45295C"/>
    <w:rsid w:val="4B527D8B"/>
    <w:rsid w:val="4B592BDA"/>
    <w:rsid w:val="4B66C6FC"/>
    <w:rsid w:val="4B68A02F"/>
    <w:rsid w:val="4B70B0A4"/>
    <w:rsid w:val="4B756B7B"/>
    <w:rsid w:val="4BA4A882"/>
    <w:rsid w:val="4BCF756B"/>
    <w:rsid w:val="4BD50879"/>
    <w:rsid w:val="4C08E617"/>
    <w:rsid w:val="4C25702A"/>
    <w:rsid w:val="4C2F5F25"/>
    <w:rsid w:val="4C46069B"/>
    <w:rsid w:val="4C49EADE"/>
    <w:rsid w:val="4C55722A"/>
    <w:rsid w:val="4C5CB490"/>
    <w:rsid w:val="4C7B854B"/>
    <w:rsid w:val="4C940162"/>
    <w:rsid w:val="4C98B744"/>
    <w:rsid w:val="4CB889E1"/>
    <w:rsid w:val="4CB9FB27"/>
    <w:rsid w:val="4CC033D3"/>
    <w:rsid w:val="4CD40A44"/>
    <w:rsid w:val="4CD684FE"/>
    <w:rsid w:val="4CE14991"/>
    <w:rsid w:val="4CFBCBD3"/>
    <w:rsid w:val="4CFFBD77"/>
    <w:rsid w:val="4D06204D"/>
    <w:rsid w:val="4D10A3D8"/>
    <w:rsid w:val="4D113221"/>
    <w:rsid w:val="4D38599E"/>
    <w:rsid w:val="4D3E2748"/>
    <w:rsid w:val="4D51744F"/>
    <w:rsid w:val="4D643BF4"/>
    <w:rsid w:val="4D789BA6"/>
    <w:rsid w:val="4D8021EE"/>
    <w:rsid w:val="4D963A25"/>
    <w:rsid w:val="4DDFC49F"/>
    <w:rsid w:val="4DECC9F4"/>
    <w:rsid w:val="4DFBDBF8"/>
    <w:rsid w:val="4E050C5E"/>
    <w:rsid w:val="4E213BDD"/>
    <w:rsid w:val="4E418C81"/>
    <w:rsid w:val="4E4636FD"/>
    <w:rsid w:val="4E527D56"/>
    <w:rsid w:val="4E6E68D1"/>
    <w:rsid w:val="4E72D179"/>
    <w:rsid w:val="4E733795"/>
    <w:rsid w:val="4E7DB510"/>
    <w:rsid w:val="4E81B941"/>
    <w:rsid w:val="4E8D94E8"/>
    <w:rsid w:val="4E91131A"/>
    <w:rsid w:val="4EE0A489"/>
    <w:rsid w:val="4F0EE058"/>
    <w:rsid w:val="4F0F05DC"/>
    <w:rsid w:val="4F44A73D"/>
    <w:rsid w:val="4F4A7FA7"/>
    <w:rsid w:val="4F608EF3"/>
    <w:rsid w:val="4F7A0CED"/>
    <w:rsid w:val="4F882ABE"/>
    <w:rsid w:val="4F920534"/>
    <w:rsid w:val="4FA26CA9"/>
    <w:rsid w:val="4FB63E1A"/>
    <w:rsid w:val="4FBB3423"/>
    <w:rsid w:val="501460A7"/>
    <w:rsid w:val="50218CBC"/>
    <w:rsid w:val="50252601"/>
    <w:rsid w:val="5032BA65"/>
    <w:rsid w:val="5049D5B1"/>
    <w:rsid w:val="5050CD97"/>
    <w:rsid w:val="5058A0A5"/>
    <w:rsid w:val="5063B781"/>
    <w:rsid w:val="5069CF69"/>
    <w:rsid w:val="50810A8E"/>
    <w:rsid w:val="50963F30"/>
    <w:rsid w:val="50C42B20"/>
    <w:rsid w:val="50D16F0A"/>
    <w:rsid w:val="50EBAA8E"/>
    <w:rsid w:val="50EE3446"/>
    <w:rsid w:val="50FDA286"/>
    <w:rsid w:val="5107781F"/>
    <w:rsid w:val="5107E5F6"/>
    <w:rsid w:val="51240D65"/>
    <w:rsid w:val="513EB291"/>
    <w:rsid w:val="514CE770"/>
    <w:rsid w:val="5150E0D5"/>
    <w:rsid w:val="5158F7E7"/>
    <w:rsid w:val="515B6813"/>
    <w:rsid w:val="51614648"/>
    <w:rsid w:val="517449C8"/>
    <w:rsid w:val="518A88B3"/>
    <w:rsid w:val="519E9BF4"/>
    <w:rsid w:val="519F50D1"/>
    <w:rsid w:val="51A51B4F"/>
    <w:rsid w:val="51BE9DE3"/>
    <w:rsid w:val="51D10400"/>
    <w:rsid w:val="51FEC87D"/>
    <w:rsid w:val="52000C4D"/>
    <w:rsid w:val="521AF2EB"/>
    <w:rsid w:val="522580AE"/>
    <w:rsid w:val="52343FA9"/>
    <w:rsid w:val="526C944C"/>
    <w:rsid w:val="527E3C09"/>
    <w:rsid w:val="5282C67B"/>
    <w:rsid w:val="52893FC0"/>
    <w:rsid w:val="52BDCC78"/>
    <w:rsid w:val="52C46BA4"/>
    <w:rsid w:val="52DC0C3B"/>
    <w:rsid w:val="52DC20B8"/>
    <w:rsid w:val="530030D8"/>
    <w:rsid w:val="5300D130"/>
    <w:rsid w:val="53386B3E"/>
    <w:rsid w:val="533C98BD"/>
    <w:rsid w:val="5343B6A7"/>
    <w:rsid w:val="534A4143"/>
    <w:rsid w:val="534C1E4A"/>
    <w:rsid w:val="53502460"/>
    <w:rsid w:val="539475BF"/>
    <w:rsid w:val="5395DB15"/>
    <w:rsid w:val="539F320B"/>
    <w:rsid w:val="53C3A928"/>
    <w:rsid w:val="53CC2347"/>
    <w:rsid w:val="53CF9C2D"/>
    <w:rsid w:val="53D6941C"/>
    <w:rsid w:val="53F43F2D"/>
    <w:rsid w:val="53F5618F"/>
    <w:rsid w:val="540EC44A"/>
    <w:rsid w:val="54217440"/>
    <w:rsid w:val="5445CEF9"/>
    <w:rsid w:val="5446938A"/>
    <w:rsid w:val="5454439D"/>
    <w:rsid w:val="548393F0"/>
    <w:rsid w:val="54C11138"/>
    <w:rsid w:val="54CB6C27"/>
    <w:rsid w:val="54D80D90"/>
    <w:rsid w:val="54FA6B14"/>
    <w:rsid w:val="551782DD"/>
    <w:rsid w:val="551AED22"/>
    <w:rsid w:val="552051B0"/>
    <w:rsid w:val="55244648"/>
    <w:rsid w:val="55748441"/>
    <w:rsid w:val="55768A3F"/>
    <w:rsid w:val="558415ED"/>
    <w:rsid w:val="5592B2D5"/>
    <w:rsid w:val="5597C7B0"/>
    <w:rsid w:val="5598F49D"/>
    <w:rsid w:val="55F5D283"/>
    <w:rsid w:val="5602078B"/>
    <w:rsid w:val="560E907C"/>
    <w:rsid w:val="561F5771"/>
    <w:rsid w:val="564A5597"/>
    <w:rsid w:val="56735C91"/>
    <w:rsid w:val="5674705A"/>
    <w:rsid w:val="56852E2A"/>
    <w:rsid w:val="56A52AEB"/>
    <w:rsid w:val="56C1E452"/>
    <w:rsid w:val="56CD741A"/>
    <w:rsid w:val="56D79894"/>
    <w:rsid w:val="56DC695C"/>
    <w:rsid w:val="57013FF0"/>
    <w:rsid w:val="5717D6A4"/>
    <w:rsid w:val="5733B29B"/>
    <w:rsid w:val="5742B256"/>
    <w:rsid w:val="57461E05"/>
    <w:rsid w:val="57594878"/>
    <w:rsid w:val="575CBAB5"/>
    <w:rsid w:val="577E25B0"/>
    <w:rsid w:val="57960E9A"/>
    <w:rsid w:val="57F7FA5A"/>
    <w:rsid w:val="58335613"/>
    <w:rsid w:val="584223E9"/>
    <w:rsid w:val="58446C27"/>
    <w:rsid w:val="58577E21"/>
    <w:rsid w:val="586BBF69"/>
    <w:rsid w:val="58715CDB"/>
    <w:rsid w:val="5876CD46"/>
    <w:rsid w:val="587C51E8"/>
    <w:rsid w:val="5889B8E9"/>
    <w:rsid w:val="588C96BE"/>
    <w:rsid w:val="58A6D334"/>
    <w:rsid w:val="58B1F7B5"/>
    <w:rsid w:val="58C10D03"/>
    <w:rsid w:val="58CB4809"/>
    <w:rsid w:val="58CBC65A"/>
    <w:rsid w:val="58E27F6A"/>
    <w:rsid w:val="58EEA3C6"/>
    <w:rsid w:val="591EB7D4"/>
    <w:rsid w:val="59200774"/>
    <w:rsid w:val="5921AAB5"/>
    <w:rsid w:val="592E413E"/>
    <w:rsid w:val="594A512F"/>
    <w:rsid w:val="594C2D91"/>
    <w:rsid w:val="594DB526"/>
    <w:rsid w:val="594EB6FB"/>
    <w:rsid w:val="595D1F2B"/>
    <w:rsid w:val="597ABBD9"/>
    <w:rsid w:val="59846C4C"/>
    <w:rsid w:val="599BC696"/>
    <w:rsid w:val="59A4305C"/>
    <w:rsid w:val="59C618AD"/>
    <w:rsid w:val="59D11897"/>
    <w:rsid w:val="59E45449"/>
    <w:rsid w:val="5A151ECE"/>
    <w:rsid w:val="5A1F284A"/>
    <w:rsid w:val="5A2F7542"/>
    <w:rsid w:val="5A4A2627"/>
    <w:rsid w:val="5A6D7149"/>
    <w:rsid w:val="5A738D21"/>
    <w:rsid w:val="5A838B17"/>
    <w:rsid w:val="5A97F939"/>
    <w:rsid w:val="5AA4FF6B"/>
    <w:rsid w:val="5AA61FE4"/>
    <w:rsid w:val="5AB6A1CF"/>
    <w:rsid w:val="5AC0DB6F"/>
    <w:rsid w:val="5ACBFAC8"/>
    <w:rsid w:val="5AD56CC3"/>
    <w:rsid w:val="5AD57A01"/>
    <w:rsid w:val="5AD6621B"/>
    <w:rsid w:val="5AFA72B2"/>
    <w:rsid w:val="5B01CBCB"/>
    <w:rsid w:val="5B299613"/>
    <w:rsid w:val="5B2DBE8D"/>
    <w:rsid w:val="5B3121D6"/>
    <w:rsid w:val="5B410940"/>
    <w:rsid w:val="5B529F24"/>
    <w:rsid w:val="5B582C82"/>
    <w:rsid w:val="5B643A1D"/>
    <w:rsid w:val="5B8841CD"/>
    <w:rsid w:val="5B8E9FAA"/>
    <w:rsid w:val="5BA99726"/>
    <w:rsid w:val="5BB20879"/>
    <w:rsid w:val="5BC218E1"/>
    <w:rsid w:val="5BDB4D40"/>
    <w:rsid w:val="5BDC81C9"/>
    <w:rsid w:val="5BE2BEFE"/>
    <w:rsid w:val="5BEA40DB"/>
    <w:rsid w:val="5BF14599"/>
    <w:rsid w:val="5C0233F1"/>
    <w:rsid w:val="5C0B4434"/>
    <w:rsid w:val="5C0FA5CD"/>
    <w:rsid w:val="5C12F0A1"/>
    <w:rsid w:val="5C215EE0"/>
    <w:rsid w:val="5C564170"/>
    <w:rsid w:val="5C9AA2AD"/>
    <w:rsid w:val="5CAF8BA6"/>
    <w:rsid w:val="5CBAD876"/>
    <w:rsid w:val="5CBCBE9A"/>
    <w:rsid w:val="5CC3AC74"/>
    <w:rsid w:val="5CC9D896"/>
    <w:rsid w:val="5CDEAAB3"/>
    <w:rsid w:val="5CE38AD9"/>
    <w:rsid w:val="5CE4258F"/>
    <w:rsid w:val="5D19E8F3"/>
    <w:rsid w:val="5D3EFD8E"/>
    <w:rsid w:val="5D597140"/>
    <w:rsid w:val="5D5CBB7C"/>
    <w:rsid w:val="5D5EC1E9"/>
    <w:rsid w:val="5DB34B82"/>
    <w:rsid w:val="5DB79C16"/>
    <w:rsid w:val="5DC16D31"/>
    <w:rsid w:val="5DF2B1E8"/>
    <w:rsid w:val="5DF7E408"/>
    <w:rsid w:val="5E3C837D"/>
    <w:rsid w:val="5E42CC93"/>
    <w:rsid w:val="5E496515"/>
    <w:rsid w:val="5E49DC7A"/>
    <w:rsid w:val="5E4A8AED"/>
    <w:rsid w:val="5E5B54BB"/>
    <w:rsid w:val="5EAFE885"/>
    <w:rsid w:val="5EB2111C"/>
    <w:rsid w:val="5EB29D9B"/>
    <w:rsid w:val="5EC1DB91"/>
    <w:rsid w:val="5ED468B7"/>
    <w:rsid w:val="5ED5A78A"/>
    <w:rsid w:val="5EEC23A7"/>
    <w:rsid w:val="5EEC9CC4"/>
    <w:rsid w:val="5EFE8334"/>
    <w:rsid w:val="5F165978"/>
    <w:rsid w:val="5F1789C8"/>
    <w:rsid w:val="5F3F50E3"/>
    <w:rsid w:val="5F3F519D"/>
    <w:rsid w:val="5F547DAA"/>
    <w:rsid w:val="5F59082E"/>
    <w:rsid w:val="5F5E3057"/>
    <w:rsid w:val="5F6E5D67"/>
    <w:rsid w:val="5F741ABA"/>
    <w:rsid w:val="5F86C6EF"/>
    <w:rsid w:val="5F8B5588"/>
    <w:rsid w:val="5FA00FEE"/>
    <w:rsid w:val="5FAD02E1"/>
    <w:rsid w:val="5FD0BF73"/>
    <w:rsid w:val="5FE7F9B5"/>
    <w:rsid w:val="5FE96D90"/>
    <w:rsid w:val="600CFD35"/>
    <w:rsid w:val="60272B7D"/>
    <w:rsid w:val="6067DF91"/>
    <w:rsid w:val="607A4E90"/>
    <w:rsid w:val="607E2D5F"/>
    <w:rsid w:val="609C7251"/>
    <w:rsid w:val="60C97CD0"/>
    <w:rsid w:val="60CAD604"/>
    <w:rsid w:val="60E1EF3A"/>
    <w:rsid w:val="60EB86B8"/>
    <w:rsid w:val="61003FED"/>
    <w:rsid w:val="61048EED"/>
    <w:rsid w:val="61142CCC"/>
    <w:rsid w:val="6117C208"/>
    <w:rsid w:val="6137688C"/>
    <w:rsid w:val="6147E5DA"/>
    <w:rsid w:val="619AF4F6"/>
    <w:rsid w:val="61A2D84A"/>
    <w:rsid w:val="61A58F7F"/>
    <w:rsid w:val="61B20D88"/>
    <w:rsid w:val="61BAB1A8"/>
    <w:rsid w:val="61DE109B"/>
    <w:rsid w:val="61DFD3B6"/>
    <w:rsid w:val="61EA86D6"/>
    <w:rsid w:val="62022F8C"/>
    <w:rsid w:val="6205FC0C"/>
    <w:rsid w:val="62102024"/>
    <w:rsid w:val="6241D586"/>
    <w:rsid w:val="6253D999"/>
    <w:rsid w:val="625D5909"/>
    <w:rsid w:val="62752E1C"/>
    <w:rsid w:val="62817237"/>
    <w:rsid w:val="6285A586"/>
    <w:rsid w:val="628B431A"/>
    <w:rsid w:val="6299BC5E"/>
    <w:rsid w:val="62C07BC2"/>
    <w:rsid w:val="62F4AC52"/>
    <w:rsid w:val="6304D95B"/>
    <w:rsid w:val="6311CB89"/>
    <w:rsid w:val="6315D15A"/>
    <w:rsid w:val="63383ECE"/>
    <w:rsid w:val="6342F6C9"/>
    <w:rsid w:val="636186BC"/>
    <w:rsid w:val="6361C0D0"/>
    <w:rsid w:val="63988397"/>
    <w:rsid w:val="639931FE"/>
    <w:rsid w:val="639DE416"/>
    <w:rsid w:val="63A7A9FA"/>
    <w:rsid w:val="63D256F7"/>
    <w:rsid w:val="63D800F5"/>
    <w:rsid w:val="63D87638"/>
    <w:rsid w:val="63F95BC9"/>
    <w:rsid w:val="63F9AE2F"/>
    <w:rsid w:val="63FA4550"/>
    <w:rsid w:val="6407905B"/>
    <w:rsid w:val="6415C781"/>
    <w:rsid w:val="641EF375"/>
    <w:rsid w:val="64571C11"/>
    <w:rsid w:val="645E5384"/>
    <w:rsid w:val="64823090"/>
    <w:rsid w:val="648D5DE9"/>
    <w:rsid w:val="649C0B8A"/>
    <w:rsid w:val="64E83B63"/>
    <w:rsid w:val="65020388"/>
    <w:rsid w:val="6518E89D"/>
    <w:rsid w:val="6522DB17"/>
    <w:rsid w:val="65324C7D"/>
    <w:rsid w:val="655852CC"/>
    <w:rsid w:val="65612A63"/>
    <w:rsid w:val="65694F43"/>
    <w:rsid w:val="65926069"/>
    <w:rsid w:val="6596481E"/>
    <w:rsid w:val="65973AC7"/>
    <w:rsid w:val="65AEAF6F"/>
    <w:rsid w:val="65DA58E6"/>
    <w:rsid w:val="65E8DDAC"/>
    <w:rsid w:val="65ECD2FF"/>
    <w:rsid w:val="65F31B12"/>
    <w:rsid w:val="66232BE3"/>
    <w:rsid w:val="66431FB2"/>
    <w:rsid w:val="66442C73"/>
    <w:rsid w:val="667B18AF"/>
    <w:rsid w:val="6693B257"/>
    <w:rsid w:val="66E5BA63"/>
    <w:rsid w:val="67514F42"/>
    <w:rsid w:val="6751DA2F"/>
    <w:rsid w:val="67CE7EC9"/>
    <w:rsid w:val="683DA15E"/>
    <w:rsid w:val="68434CB2"/>
    <w:rsid w:val="686A4DB9"/>
    <w:rsid w:val="6879BD59"/>
    <w:rsid w:val="68949328"/>
    <w:rsid w:val="689C47A8"/>
    <w:rsid w:val="68A238F4"/>
    <w:rsid w:val="68AB5D7B"/>
    <w:rsid w:val="68B8E528"/>
    <w:rsid w:val="68B9EF06"/>
    <w:rsid w:val="68E14058"/>
    <w:rsid w:val="68E44918"/>
    <w:rsid w:val="68E98133"/>
    <w:rsid w:val="68EEF672"/>
    <w:rsid w:val="693BD7E8"/>
    <w:rsid w:val="6952AA2B"/>
    <w:rsid w:val="696CAC8F"/>
    <w:rsid w:val="69746F22"/>
    <w:rsid w:val="6977CF9C"/>
    <w:rsid w:val="697AE6A1"/>
    <w:rsid w:val="6993582C"/>
    <w:rsid w:val="69A065D1"/>
    <w:rsid w:val="69A06BF7"/>
    <w:rsid w:val="69AE5EDF"/>
    <w:rsid w:val="69FE06BB"/>
    <w:rsid w:val="6A04EACA"/>
    <w:rsid w:val="6A24CE32"/>
    <w:rsid w:val="6A4B61D3"/>
    <w:rsid w:val="6A4D6DCF"/>
    <w:rsid w:val="6A57D45B"/>
    <w:rsid w:val="6A6A3F1D"/>
    <w:rsid w:val="6A7380EC"/>
    <w:rsid w:val="6AAB1732"/>
    <w:rsid w:val="6AAEFD57"/>
    <w:rsid w:val="6AC69337"/>
    <w:rsid w:val="6AC9C106"/>
    <w:rsid w:val="6AFBEC73"/>
    <w:rsid w:val="6B0FB5A4"/>
    <w:rsid w:val="6B0FC523"/>
    <w:rsid w:val="6B1D8E50"/>
    <w:rsid w:val="6B1ED9A5"/>
    <w:rsid w:val="6B317AF6"/>
    <w:rsid w:val="6B4C219E"/>
    <w:rsid w:val="6B9636DB"/>
    <w:rsid w:val="6B9D3717"/>
    <w:rsid w:val="6B9F1474"/>
    <w:rsid w:val="6BAA073B"/>
    <w:rsid w:val="6BC0063E"/>
    <w:rsid w:val="6BD6CCEF"/>
    <w:rsid w:val="6BDEF313"/>
    <w:rsid w:val="6BFC23E2"/>
    <w:rsid w:val="6BFC9A59"/>
    <w:rsid w:val="6C1934C6"/>
    <w:rsid w:val="6C3F3E77"/>
    <w:rsid w:val="6C4005A7"/>
    <w:rsid w:val="6C6EC828"/>
    <w:rsid w:val="6C945663"/>
    <w:rsid w:val="6CB0F776"/>
    <w:rsid w:val="6CBED933"/>
    <w:rsid w:val="6CC31EED"/>
    <w:rsid w:val="6CCA9B95"/>
    <w:rsid w:val="6CDAC2C5"/>
    <w:rsid w:val="6CDDB460"/>
    <w:rsid w:val="6CE04B19"/>
    <w:rsid w:val="6CE08630"/>
    <w:rsid w:val="6CF3BAD1"/>
    <w:rsid w:val="6CFAB543"/>
    <w:rsid w:val="6D10B524"/>
    <w:rsid w:val="6D29EFF1"/>
    <w:rsid w:val="6D61741C"/>
    <w:rsid w:val="6D816B08"/>
    <w:rsid w:val="6DA9AD85"/>
    <w:rsid w:val="6DB09C6D"/>
    <w:rsid w:val="6DC6ABCD"/>
    <w:rsid w:val="6DCD33A4"/>
    <w:rsid w:val="6DD67BE1"/>
    <w:rsid w:val="6DD796DE"/>
    <w:rsid w:val="6DDA794E"/>
    <w:rsid w:val="6DFDBA38"/>
    <w:rsid w:val="6E0D284C"/>
    <w:rsid w:val="6E3496CB"/>
    <w:rsid w:val="6E3DFFA0"/>
    <w:rsid w:val="6E857405"/>
    <w:rsid w:val="6E912D58"/>
    <w:rsid w:val="6EA812E4"/>
    <w:rsid w:val="6EB47D07"/>
    <w:rsid w:val="6EC3BD26"/>
    <w:rsid w:val="6ECDC43D"/>
    <w:rsid w:val="6ECE4944"/>
    <w:rsid w:val="6EDD9EBA"/>
    <w:rsid w:val="6EF57155"/>
    <w:rsid w:val="6F05220F"/>
    <w:rsid w:val="6F2F126F"/>
    <w:rsid w:val="6F343FC0"/>
    <w:rsid w:val="6F4F2B1A"/>
    <w:rsid w:val="6F714916"/>
    <w:rsid w:val="6F8222C7"/>
    <w:rsid w:val="6FA85C1A"/>
    <w:rsid w:val="6FABD73D"/>
    <w:rsid w:val="6FB1652F"/>
    <w:rsid w:val="6FC33243"/>
    <w:rsid w:val="6FDB0FCA"/>
    <w:rsid w:val="6FE0859E"/>
    <w:rsid w:val="6FE9A307"/>
    <w:rsid w:val="6FEEA4C5"/>
    <w:rsid w:val="6FF3EBEC"/>
    <w:rsid w:val="70248B94"/>
    <w:rsid w:val="702927C9"/>
    <w:rsid w:val="70471CA8"/>
    <w:rsid w:val="70479EDE"/>
    <w:rsid w:val="7062C9A1"/>
    <w:rsid w:val="708E8EB4"/>
    <w:rsid w:val="70AA57B7"/>
    <w:rsid w:val="70C926A8"/>
    <w:rsid w:val="70CA66E9"/>
    <w:rsid w:val="70D8C48D"/>
    <w:rsid w:val="70D99512"/>
    <w:rsid w:val="70DE3189"/>
    <w:rsid w:val="70EA9711"/>
    <w:rsid w:val="710B2F53"/>
    <w:rsid w:val="711C4F20"/>
    <w:rsid w:val="71508697"/>
    <w:rsid w:val="717415CB"/>
    <w:rsid w:val="718CBC9C"/>
    <w:rsid w:val="7197BA9C"/>
    <w:rsid w:val="7199E3AF"/>
    <w:rsid w:val="719C6D62"/>
    <w:rsid w:val="71BB9ADB"/>
    <w:rsid w:val="71E65837"/>
    <w:rsid w:val="71F1641E"/>
    <w:rsid w:val="71F4FB5D"/>
    <w:rsid w:val="7221029A"/>
    <w:rsid w:val="72253F04"/>
    <w:rsid w:val="72314837"/>
    <w:rsid w:val="72365912"/>
    <w:rsid w:val="723F2A31"/>
    <w:rsid w:val="723FAF69"/>
    <w:rsid w:val="72476406"/>
    <w:rsid w:val="7248EB08"/>
    <w:rsid w:val="724B896D"/>
    <w:rsid w:val="724E1973"/>
    <w:rsid w:val="7277F2E1"/>
    <w:rsid w:val="727B9EE9"/>
    <w:rsid w:val="72B2B696"/>
    <w:rsid w:val="72BA06BD"/>
    <w:rsid w:val="72E8D4C0"/>
    <w:rsid w:val="7300125E"/>
    <w:rsid w:val="730522C7"/>
    <w:rsid w:val="731CE269"/>
    <w:rsid w:val="732556FD"/>
    <w:rsid w:val="73317385"/>
    <w:rsid w:val="7357E448"/>
    <w:rsid w:val="736A1B5D"/>
    <w:rsid w:val="73A27146"/>
    <w:rsid w:val="73BFBDDB"/>
    <w:rsid w:val="7406D845"/>
    <w:rsid w:val="7409C28E"/>
    <w:rsid w:val="744EFFA6"/>
    <w:rsid w:val="745EB707"/>
    <w:rsid w:val="7460E953"/>
    <w:rsid w:val="7467FD1D"/>
    <w:rsid w:val="7473854B"/>
    <w:rsid w:val="74832477"/>
    <w:rsid w:val="749631E3"/>
    <w:rsid w:val="749730AA"/>
    <w:rsid w:val="7499B69A"/>
    <w:rsid w:val="74AE23DB"/>
    <w:rsid w:val="74B238BE"/>
    <w:rsid w:val="74C92943"/>
    <w:rsid w:val="74CC44F6"/>
    <w:rsid w:val="74D1A2EA"/>
    <w:rsid w:val="74D51A79"/>
    <w:rsid w:val="74D55BE9"/>
    <w:rsid w:val="74E458DB"/>
    <w:rsid w:val="754DDCC2"/>
    <w:rsid w:val="757004D2"/>
    <w:rsid w:val="757C2643"/>
    <w:rsid w:val="75AD8B93"/>
    <w:rsid w:val="7607A066"/>
    <w:rsid w:val="760A9385"/>
    <w:rsid w:val="760B8871"/>
    <w:rsid w:val="7616F4D7"/>
    <w:rsid w:val="7617476B"/>
    <w:rsid w:val="764AA055"/>
    <w:rsid w:val="76606CEF"/>
    <w:rsid w:val="76737653"/>
    <w:rsid w:val="769E72DF"/>
    <w:rsid w:val="76A95B08"/>
    <w:rsid w:val="76E282D0"/>
    <w:rsid w:val="76E9F14B"/>
    <w:rsid w:val="76F0520F"/>
    <w:rsid w:val="772678D9"/>
    <w:rsid w:val="772D3A24"/>
    <w:rsid w:val="774D2B67"/>
    <w:rsid w:val="7755151E"/>
    <w:rsid w:val="7755A405"/>
    <w:rsid w:val="775B8F1F"/>
    <w:rsid w:val="77618DA3"/>
    <w:rsid w:val="77682C6F"/>
    <w:rsid w:val="77694C32"/>
    <w:rsid w:val="77A2373E"/>
    <w:rsid w:val="77C3BC11"/>
    <w:rsid w:val="77D34F23"/>
    <w:rsid w:val="77D4A232"/>
    <w:rsid w:val="77F7242A"/>
    <w:rsid w:val="7803C795"/>
    <w:rsid w:val="7810E0E3"/>
    <w:rsid w:val="781593D7"/>
    <w:rsid w:val="783DF74E"/>
    <w:rsid w:val="784E946E"/>
    <w:rsid w:val="7856EF05"/>
    <w:rsid w:val="7874483D"/>
    <w:rsid w:val="787BC7DE"/>
    <w:rsid w:val="787D0E08"/>
    <w:rsid w:val="78A389D2"/>
    <w:rsid w:val="78A68FE0"/>
    <w:rsid w:val="78DC98AA"/>
    <w:rsid w:val="78E08AD4"/>
    <w:rsid w:val="7908A681"/>
    <w:rsid w:val="7922E528"/>
    <w:rsid w:val="793558C6"/>
    <w:rsid w:val="794243FC"/>
    <w:rsid w:val="794393E4"/>
    <w:rsid w:val="79768FDA"/>
    <w:rsid w:val="7980F937"/>
    <w:rsid w:val="7983EDE9"/>
    <w:rsid w:val="7991C00D"/>
    <w:rsid w:val="799ABCB8"/>
    <w:rsid w:val="799C9D5A"/>
    <w:rsid w:val="79B245D5"/>
    <w:rsid w:val="79B35786"/>
    <w:rsid w:val="79C1B1BA"/>
    <w:rsid w:val="79CA5AE6"/>
    <w:rsid w:val="79CCFA04"/>
    <w:rsid w:val="79D468C7"/>
    <w:rsid w:val="79E8CD25"/>
    <w:rsid w:val="79EE43E6"/>
    <w:rsid w:val="7A0123C0"/>
    <w:rsid w:val="7A2D7E32"/>
    <w:rsid w:val="7A3CA041"/>
    <w:rsid w:val="7A45D968"/>
    <w:rsid w:val="7A5356C4"/>
    <w:rsid w:val="7A54CF8A"/>
    <w:rsid w:val="7A72FD4F"/>
    <w:rsid w:val="7A74CDCD"/>
    <w:rsid w:val="7A7F39A6"/>
    <w:rsid w:val="7A7FAEA5"/>
    <w:rsid w:val="7A93327A"/>
    <w:rsid w:val="7A99A6DE"/>
    <w:rsid w:val="7AAB8458"/>
    <w:rsid w:val="7AB76BBA"/>
    <w:rsid w:val="7AD52CB1"/>
    <w:rsid w:val="7ADD5317"/>
    <w:rsid w:val="7B26EE7F"/>
    <w:rsid w:val="7B2D9C38"/>
    <w:rsid w:val="7B50C2C8"/>
    <w:rsid w:val="7B5C641C"/>
    <w:rsid w:val="7B668FCA"/>
    <w:rsid w:val="7B878399"/>
    <w:rsid w:val="7B952639"/>
    <w:rsid w:val="7B95C279"/>
    <w:rsid w:val="7B9BF3C8"/>
    <w:rsid w:val="7B9FDEB5"/>
    <w:rsid w:val="7BC85B03"/>
    <w:rsid w:val="7BF4A925"/>
    <w:rsid w:val="7C01B743"/>
    <w:rsid w:val="7C1FECDA"/>
    <w:rsid w:val="7C258CF0"/>
    <w:rsid w:val="7C300273"/>
    <w:rsid w:val="7C3925D5"/>
    <w:rsid w:val="7C5D41AC"/>
    <w:rsid w:val="7C5F4888"/>
    <w:rsid w:val="7C6E5D3A"/>
    <w:rsid w:val="7C842C41"/>
    <w:rsid w:val="7C8AD031"/>
    <w:rsid w:val="7C8BEA3E"/>
    <w:rsid w:val="7C9E607C"/>
    <w:rsid w:val="7CA3C21C"/>
    <w:rsid w:val="7CA4A1DE"/>
    <w:rsid w:val="7CA7C449"/>
    <w:rsid w:val="7CAB0EA3"/>
    <w:rsid w:val="7CD03DAE"/>
    <w:rsid w:val="7CD153C8"/>
    <w:rsid w:val="7CEC78FF"/>
    <w:rsid w:val="7D01A557"/>
    <w:rsid w:val="7D10AE13"/>
    <w:rsid w:val="7D1DC60A"/>
    <w:rsid w:val="7D4986AC"/>
    <w:rsid w:val="7D4EA49B"/>
    <w:rsid w:val="7D5F04A0"/>
    <w:rsid w:val="7D90373B"/>
    <w:rsid w:val="7D970BCA"/>
    <w:rsid w:val="7DA1148C"/>
    <w:rsid w:val="7DC20C53"/>
    <w:rsid w:val="7DF41A12"/>
    <w:rsid w:val="7E05AB19"/>
    <w:rsid w:val="7E445526"/>
    <w:rsid w:val="7E56D9B1"/>
    <w:rsid w:val="7E57AFCC"/>
    <w:rsid w:val="7E5904DF"/>
    <w:rsid w:val="7E7928AF"/>
    <w:rsid w:val="7E8204CA"/>
    <w:rsid w:val="7E9BF76F"/>
    <w:rsid w:val="7EB18D50"/>
    <w:rsid w:val="7EB42909"/>
    <w:rsid w:val="7EC02F10"/>
    <w:rsid w:val="7ECEC8BA"/>
    <w:rsid w:val="7EFF1EA0"/>
    <w:rsid w:val="7F059B2F"/>
    <w:rsid w:val="7F1CC509"/>
    <w:rsid w:val="7F21D287"/>
    <w:rsid w:val="7F2B2E37"/>
    <w:rsid w:val="7F3C56B3"/>
    <w:rsid w:val="7F488331"/>
    <w:rsid w:val="7F4F64CB"/>
    <w:rsid w:val="7F91BD61"/>
    <w:rsid w:val="7F9536D0"/>
    <w:rsid w:val="7F9599E8"/>
    <w:rsid w:val="7FCB4AF7"/>
    <w:rsid w:val="7FEEE186"/>
    <w:rsid w:val="7FF5537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C48A"/>
  <w15:chartTrackingRefBased/>
  <w15:docId w15:val="{E8F0D910-AC2E-42CC-8C87-647391FF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000000"/>
        <w:kern w:val="2"/>
        <w:sz w:val="22"/>
        <w:szCs w:val="22"/>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2A"/>
    <w:pPr>
      <w:spacing w:after="120" w:line="276" w:lineRule="auto"/>
      <w:jc w:val="both"/>
    </w:pPr>
    <w:rPr>
      <w:kern w:val="0"/>
      <w:lang w:eastAsia="es-MX"/>
      <w14:ligatures w14:val="none"/>
    </w:rPr>
  </w:style>
  <w:style w:type="paragraph" w:styleId="Ttulo1">
    <w:name w:val="heading 1"/>
    <w:basedOn w:val="Normal"/>
    <w:next w:val="Normal"/>
    <w:link w:val="Ttulo1Car"/>
    <w:uiPriority w:val="9"/>
    <w:qFormat/>
    <w:rsid w:val="007D5318"/>
    <w:pPr>
      <w:keepNext/>
      <w:keepLines/>
      <w:pageBreakBefore/>
      <w:numPr>
        <w:numId w:val="3"/>
      </w:numPr>
      <w:ind w:left="0" w:firstLine="0"/>
      <w:jc w:val="left"/>
      <w:outlineLvl w:val="0"/>
    </w:pPr>
    <w:rPr>
      <w:b/>
      <w:bCs/>
      <w:sz w:val="24"/>
      <w:szCs w:val="24"/>
    </w:rPr>
  </w:style>
  <w:style w:type="paragraph" w:styleId="Ttulo2">
    <w:name w:val="heading 2"/>
    <w:basedOn w:val="Normal"/>
    <w:next w:val="Normal"/>
    <w:link w:val="Ttulo2Car"/>
    <w:uiPriority w:val="9"/>
    <w:unhideWhenUsed/>
    <w:qFormat/>
    <w:rsid w:val="00614B58"/>
    <w:pPr>
      <w:keepNext/>
      <w:keepLines/>
      <w:numPr>
        <w:ilvl w:val="1"/>
        <w:numId w:val="3"/>
      </w:numPr>
      <w:spacing w:before="240" w:after="80"/>
      <w:ind w:left="0" w:firstLine="0"/>
      <w:contextualSpacing/>
      <w:jc w:val="left"/>
      <w:outlineLvl w:val="1"/>
    </w:pPr>
    <w:rPr>
      <w:b/>
      <w:bCs/>
      <w:sz w:val="24"/>
      <w:szCs w:val="24"/>
    </w:rPr>
  </w:style>
  <w:style w:type="paragraph" w:styleId="Ttulo3">
    <w:name w:val="heading 3"/>
    <w:basedOn w:val="Normal"/>
    <w:next w:val="Normal"/>
    <w:link w:val="Ttulo3Car"/>
    <w:uiPriority w:val="9"/>
    <w:unhideWhenUsed/>
    <w:qFormat/>
    <w:rsid w:val="00614B58"/>
    <w:pPr>
      <w:keepNext/>
      <w:keepLines/>
      <w:numPr>
        <w:ilvl w:val="2"/>
        <w:numId w:val="3"/>
      </w:numPr>
      <w:spacing w:before="200" w:after="60"/>
      <w:ind w:left="0" w:firstLine="0"/>
      <w:jc w:val="left"/>
      <w:outlineLvl w:val="2"/>
    </w:pPr>
    <w:rPr>
      <w:b/>
      <w:bCs/>
    </w:rPr>
  </w:style>
  <w:style w:type="paragraph" w:styleId="Ttulo4">
    <w:name w:val="heading 4"/>
    <w:basedOn w:val="Normal"/>
    <w:next w:val="Normal"/>
    <w:link w:val="Ttulo4Car"/>
    <w:uiPriority w:val="9"/>
    <w:unhideWhenUsed/>
    <w:qFormat/>
    <w:rsid w:val="00C52A27"/>
    <w:pPr>
      <w:keepNext/>
      <w:keepLines/>
      <w:numPr>
        <w:ilvl w:val="3"/>
        <w:numId w:val="3"/>
      </w:numPr>
      <w:spacing w:before="160" w:after="240"/>
      <w:ind w:left="0" w:firstLine="0"/>
      <w:jc w:val="left"/>
      <w:outlineLvl w:val="3"/>
    </w:pPr>
    <w:rPr>
      <w:b/>
      <w:bCs/>
    </w:rPr>
  </w:style>
  <w:style w:type="paragraph" w:styleId="Ttulo5">
    <w:name w:val="heading 5"/>
    <w:basedOn w:val="Normal"/>
    <w:next w:val="Normal"/>
    <w:link w:val="Ttulo5Car"/>
    <w:uiPriority w:val="9"/>
    <w:semiHidden/>
    <w:unhideWhenUsed/>
    <w:qFormat/>
    <w:rsid w:val="007D5318"/>
    <w:pPr>
      <w:keepNext/>
      <w:keepLines/>
      <w:spacing w:before="120" w:after="40"/>
      <w:jc w:val="left"/>
      <w:outlineLvl w:val="4"/>
    </w:pPr>
    <w:rPr>
      <w:b/>
      <w:bCs/>
      <w:i/>
      <w:iCs/>
    </w:rPr>
  </w:style>
  <w:style w:type="paragraph" w:styleId="Ttulo6">
    <w:name w:val="heading 6"/>
    <w:basedOn w:val="Normal"/>
    <w:next w:val="Normal"/>
    <w:link w:val="Ttulo6Car"/>
    <w:uiPriority w:val="9"/>
    <w:semiHidden/>
    <w:unhideWhenUsed/>
    <w:qFormat/>
    <w:rsid w:val="007D531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31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31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31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318"/>
    <w:rPr>
      <w:rFonts w:ascii="Verdana" w:eastAsia="Verdana" w:hAnsi="Verdana" w:cs="Verdana"/>
      <w:b/>
      <w:bCs/>
      <w:color w:val="000000"/>
      <w:kern w:val="0"/>
      <w:sz w:val="24"/>
      <w:szCs w:val="24"/>
      <w:lang w:eastAsia="es-MX"/>
      <w14:ligatures w14:val="none"/>
    </w:rPr>
  </w:style>
  <w:style w:type="character" w:customStyle="1" w:styleId="Ttulo2Car">
    <w:name w:val="Título 2 Car"/>
    <w:basedOn w:val="Fuentedeprrafopredeter"/>
    <w:link w:val="Ttulo2"/>
    <w:uiPriority w:val="9"/>
    <w:rsid w:val="00C52A27"/>
    <w:rPr>
      <w:rFonts w:ascii="Verdana" w:eastAsia="Verdana" w:hAnsi="Verdana" w:cs="Verdana"/>
      <w:b/>
      <w:bCs/>
      <w:color w:val="000000"/>
      <w:kern w:val="0"/>
      <w:sz w:val="24"/>
      <w:szCs w:val="24"/>
      <w:lang w:eastAsia="es-MX"/>
      <w14:ligatures w14:val="none"/>
    </w:rPr>
  </w:style>
  <w:style w:type="character" w:customStyle="1" w:styleId="Ttulo3Car">
    <w:name w:val="Título 3 Car"/>
    <w:basedOn w:val="Fuentedeprrafopredeter"/>
    <w:link w:val="Ttulo3"/>
    <w:uiPriority w:val="9"/>
    <w:rsid w:val="00C52A27"/>
    <w:rPr>
      <w:rFonts w:ascii="Verdana" w:eastAsia="Verdana" w:hAnsi="Verdana" w:cs="Verdana"/>
      <w:b/>
      <w:bCs/>
      <w:color w:val="000000"/>
      <w:kern w:val="0"/>
      <w:sz w:val="22"/>
      <w:szCs w:val="22"/>
      <w:lang w:eastAsia="es-MX"/>
      <w14:ligatures w14:val="none"/>
    </w:rPr>
  </w:style>
  <w:style w:type="character" w:customStyle="1" w:styleId="Ttulo4Car">
    <w:name w:val="Título 4 Car"/>
    <w:basedOn w:val="Fuentedeprrafopredeter"/>
    <w:link w:val="Ttulo4"/>
    <w:uiPriority w:val="9"/>
    <w:rsid w:val="00C52A27"/>
    <w:rPr>
      <w:rFonts w:ascii="Verdana" w:eastAsia="Verdana" w:hAnsi="Verdana" w:cs="Verdana"/>
      <w:b/>
      <w:bCs/>
      <w:color w:val="000000"/>
      <w:kern w:val="0"/>
      <w:sz w:val="22"/>
      <w:szCs w:val="22"/>
      <w:lang w:eastAsia="es-MX"/>
      <w14:ligatures w14:val="none"/>
    </w:rPr>
  </w:style>
  <w:style w:type="character" w:customStyle="1" w:styleId="Ttulo5Car">
    <w:name w:val="Título 5 Car"/>
    <w:basedOn w:val="Fuentedeprrafopredeter"/>
    <w:link w:val="Ttulo5"/>
    <w:uiPriority w:val="9"/>
    <w:semiHidden/>
    <w:rsid w:val="007D5318"/>
    <w:rPr>
      <w:rFonts w:ascii="Verdana" w:eastAsia="Verdana" w:hAnsi="Verdana" w:cs="Verdana"/>
      <w:b/>
      <w:bCs/>
      <w:i/>
      <w:iCs/>
      <w:color w:val="000000"/>
      <w:sz w:val="22"/>
      <w:szCs w:val="22"/>
    </w:rPr>
  </w:style>
  <w:style w:type="character" w:customStyle="1" w:styleId="Ttulo6Car">
    <w:name w:val="Título 6 Car"/>
    <w:basedOn w:val="Fuentedeprrafopredeter"/>
    <w:link w:val="Ttulo6"/>
    <w:uiPriority w:val="9"/>
    <w:semiHidden/>
    <w:rsid w:val="007D53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3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3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318"/>
    <w:rPr>
      <w:rFonts w:eastAsiaTheme="majorEastAsia" w:cstheme="majorBidi"/>
      <w:color w:val="272727" w:themeColor="text1" w:themeTint="D8"/>
    </w:rPr>
  </w:style>
  <w:style w:type="paragraph" w:styleId="Ttulo">
    <w:name w:val="Title"/>
    <w:basedOn w:val="Normal"/>
    <w:next w:val="Normal"/>
    <w:link w:val="TtuloCar"/>
    <w:uiPriority w:val="10"/>
    <w:qFormat/>
    <w:rsid w:val="007D5318"/>
    <w:pPr>
      <w:spacing w:after="80"/>
      <w:contextualSpacing/>
    </w:pPr>
    <w:rPr>
      <w:spacing w:val="-10"/>
      <w:kern w:val="28"/>
      <w:sz w:val="56"/>
      <w:szCs w:val="56"/>
    </w:rPr>
  </w:style>
  <w:style w:type="character" w:customStyle="1" w:styleId="TtuloCar">
    <w:name w:val="Título Car"/>
    <w:basedOn w:val="Fuentedeprrafopredeter"/>
    <w:link w:val="Ttulo"/>
    <w:uiPriority w:val="10"/>
    <w:rsid w:val="007D53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318"/>
    <w:pPr>
      <w:numPr>
        <w:ilvl w:val="1"/>
      </w:numPr>
      <w:spacing w:after="160"/>
      <w:ind w:firstLine="720"/>
    </w:pPr>
    <w:rPr>
      <w:spacing w:val="15"/>
      <w:sz w:val="24"/>
      <w:szCs w:val="24"/>
    </w:rPr>
  </w:style>
  <w:style w:type="character" w:customStyle="1" w:styleId="SubttuloCar">
    <w:name w:val="Subtítulo Car"/>
    <w:basedOn w:val="Fuentedeprrafopredeter"/>
    <w:link w:val="Subttulo"/>
    <w:uiPriority w:val="11"/>
    <w:rsid w:val="007D53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31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D5318"/>
    <w:rPr>
      <w:i/>
      <w:iCs/>
      <w:color w:val="404040" w:themeColor="text1" w:themeTint="BF"/>
    </w:rPr>
  </w:style>
  <w:style w:type="paragraph" w:styleId="Prrafodelista">
    <w:name w:val="List Paragraph"/>
    <w:basedOn w:val="Normal"/>
    <w:uiPriority w:val="34"/>
    <w:qFormat/>
    <w:rsid w:val="007D5318"/>
    <w:pPr>
      <w:ind w:left="720"/>
      <w:contextualSpacing/>
    </w:pPr>
  </w:style>
  <w:style w:type="character" w:styleId="nfasisintenso">
    <w:name w:val="Intense Emphasis"/>
    <w:basedOn w:val="Fuentedeprrafopredeter"/>
    <w:uiPriority w:val="21"/>
    <w:qFormat/>
    <w:rsid w:val="007D5318"/>
    <w:rPr>
      <w:i/>
      <w:iCs/>
      <w:color w:val="2F5496" w:themeColor="accent1" w:themeShade="BF"/>
    </w:rPr>
  </w:style>
  <w:style w:type="paragraph" w:styleId="Citadestacada">
    <w:name w:val="Intense Quote"/>
    <w:basedOn w:val="Normal"/>
    <w:next w:val="Normal"/>
    <w:link w:val="CitadestacadaCar"/>
    <w:uiPriority w:val="30"/>
    <w:qFormat/>
    <w:rsid w:val="007D53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318"/>
    <w:rPr>
      <w:i/>
      <w:iCs/>
      <w:color w:val="2F5496" w:themeColor="accent1" w:themeShade="BF"/>
    </w:rPr>
  </w:style>
  <w:style w:type="character" w:styleId="Referenciaintensa">
    <w:name w:val="Intense Reference"/>
    <w:basedOn w:val="Fuentedeprrafopredeter"/>
    <w:uiPriority w:val="32"/>
    <w:qFormat/>
    <w:rsid w:val="007D5318"/>
    <w:rPr>
      <w:b/>
      <w:bCs/>
      <w:smallCaps/>
      <w:color w:val="2F5496" w:themeColor="accent1" w:themeShade="BF"/>
      <w:spacing w:val="5"/>
    </w:rPr>
  </w:style>
  <w:style w:type="paragraph" w:styleId="Textonotapie">
    <w:name w:val="footnote text"/>
    <w:basedOn w:val="Normal"/>
    <w:link w:val="TextonotapieCar"/>
    <w:uiPriority w:val="99"/>
    <w:semiHidden/>
    <w:unhideWhenUsed/>
    <w:rsid w:val="007D5318"/>
    <w:rPr>
      <w:sz w:val="20"/>
      <w:szCs w:val="20"/>
    </w:rPr>
  </w:style>
  <w:style w:type="character" w:customStyle="1" w:styleId="TextonotapieCar">
    <w:name w:val="Texto nota pie Car"/>
    <w:basedOn w:val="Fuentedeprrafopredeter"/>
    <w:link w:val="Textonotapie"/>
    <w:uiPriority w:val="99"/>
    <w:semiHidden/>
    <w:rsid w:val="007D5318"/>
    <w:rPr>
      <w:sz w:val="20"/>
      <w:szCs w:val="20"/>
    </w:rPr>
  </w:style>
  <w:style w:type="character" w:styleId="Refdenotaalpie">
    <w:name w:val="footnote reference"/>
    <w:basedOn w:val="Fuentedeprrafopredeter"/>
    <w:uiPriority w:val="99"/>
    <w:semiHidden/>
    <w:unhideWhenUsed/>
    <w:rsid w:val="007D5318"/>
    <w:rPr>
      <w:vertAlign w:val="superscript"/>
    </w:rPr>
  </w:style>
  <w:style w:type="numbering" w:customStyle="1" w:styleId="Listaactual1">
    <w:name w:val="Lista actual1"/>
    <w:uiPriority w:val="99"/>
    <w:rsid w:val="007D5318"/>
    <w:pPr>
      <w:numPr>
        <w:numId w:val="2"/>
      </w:numPr>
    </w:pPr>
  </w:style>
  <w:style w:type="numbering" w:customStyle="1" w:styleId="Listaactual2">
    <w:name w:val="Lista actual2"/>
    <w:uiPriority w:val="99"/>
    <w:rsid w:val="00C52A27"/>
    <w:pPr>
      <w:numPr>
        <w:numId w:val="4"/>
      </w:numPr>
    </w:pPr>
  </w:style>
  <w:style w:type="numbering" w:customStyle="1" w:styleId="Listaactual3">
    <w:name w:val="Lista actual3"/>
    <w:uiPriority w:val="99"/>
    <w:rsid w:val="00C52A27"/>
    <w:pPr>
      <w:numPr>
        <w:numId w:val="5"/>
      </w:numPr>
    </w:pPr>
  </w:style>
  <w:style w:type="paragraph" w:styleId="TtuloTDC">
    <w:name w:val="TOC Heading"/>
    <w:basedOn w:val="Ttulo1"/>
    <w:next w:val="Normal"/>
    <w:uiPriority w:val="39"/>
    <w:unhideWhenUsed/>
    <w:qFormat/>
    <w:rsid w:val="00C52A27"/>
    <w:pPr>
      <w:numPr>
        <w:numId w:val="0"/>
      </w:numPr>
      <w:spacing w:before="480"/>
      <w:outlineLvl w:val="9"/>
    </w:pPr>
    <w:rPr>
      <w:sz w:val="32"/>
      <w:szCs w:val="32"/>
    </w:rPr>
  </w:style>
  <w:style w:type="paragraph" w:styleId="TDC2">
    <w:name w:val="toc 2"/>
    <w:basedOn w:val="Normal"/>
    <w:next w:val="Normal"/>
    <w:autoRedefine/>
    <w:uiPriority w:val="39"/>
    <w:unhideWhenUsed/>
    <w:rsid w:val="00C52A27"/>
    <w:pPr>
      <w:spacing w:before="120"/>
      <w:ind w:left="240"/>
    </w:pPr>
    <w:rPr>
      <w:rFonts w:asciiTheme="minorHAnsi" w:hAnsiTheme="minorHAnsi" w:cstheme="minorHAnsi"/>
      <w:i/>
      <w:iCs/>
      <w:sz w:val="20"/>
      <w:szCs w:val="20"/>
    </w:rPr>
  </w:style>
  <w:style w:type="paragraph" w:styleId="TDC1">
    <w:name w:val="toc 1"/>
    <w:basedOn w:val="Normal"/>
    <w:next w:val="Normal"/>
    <w:autoRedefine/>
    <w:uiPriority w:val="39"/>
    <w:unhideWhenUsed/>
    <w:rsid w:val="00C52A27"/>
    <w:pPr>
      <w:spacing w:before="240"/>
    </w:pPr>
    <w:rPr>
      <w:rFonts w:asciiTheme="minorHAnsi" w:hAnsiTheme="minorHAnsi" w:cstheme="minorHAnsi"/>
      <w:b/>
      <w:bCs/>
      <w:sz w:val="20"/>
      <w:szCs w:val="20"/>
    </w:rPr>
  </w:style>
  <w:style w:type="paragraph" w:styleId="TDC3">
    <w:name w:val="toc 3"/>
    <w:basedOn w:val="Normal"/>
    <w:next w:val="Normal"/>
    <w:autoRedefine/>
    <w:uiPriority w:val="39"/>
    <w:unhideWhenUsed/>
    <w:rsid w:val="00C52A27"/>
    <w:pPr>
      <w:ind w:left="480"/>
    </w:pPr>
    <w:rPr>
      <w:rFonts w:asciiTheme="minorHAnsi" w:hAnsiTheme="minorHAnsi" w:cstheme="minorHAnsi"/>
      <w:sz w:val="20"/>
      <w:szCs w:val="20"/>
    </w:rPr>
  </w:style>
  <w:style w:type="paragraph" w:styleId="TDC4">
    <w:name w:val="toc 4"/>
    <w:basedOn w:val="Normal"/>
    <w:next w:val="Normal"/>
    <w:autoRedefine/>
    <w:uiPriority w:val="39"/>
    <w:unhideWhenUsed/>
    <w:rsid w:val="00C52A27"/>
    <w:pPr>
      <w:ind w:left="720"/>
    </w:pPr>
    <w:rPr>
      <w:rFonts w:asciiTheme="minorHAnsi" w:hAnsiTheme="minorHAnsi" w:cstheme="minorHAnsi"/>
      <w:sz w:val="20"/>
      <w:szCs w:val="20"/>
    </w:rPr>
  </w:style>
  <w:style w:type="paragraph" w:styleId="TDC5">
    <w:name w:val="toc 5"/>
    <w:basedOn w:val="Normal"/>
    <w:next w:val="Normal"/>
    <w:autoRedefine/>
    <w:uiPriority w:val="39"/>
    <w:unhideWhenUsed/>
    <w:rsid w:val="00C52A27"/>
    <w:pPr>
      <w:ind w:left="960"/>
    </w:pPr>
    <w:rPr>
      <w:rFonts w:asciiTheme="minorHAnsi" w:hAnsiTheme="minorHAnsi" w:cstheme="minorHAnsi"/>
      <w:sz w:val="20"/>
      <w:szCs w:val="20"/>
    </w:rPr>
  </w:style>
  <w:style w:type="paragraph" w:styleId="TDC6">
    <w:name w:val="toc 6"/>
    <w:basedOn w:val="Normal"/>
    <w:next w:val="Normal"/>
    <w:autoRedefine/>
    <w:uiPriority w:val="39"/>
    <w:unhideWhenUsed/>
    <w:rsid w:val="00C52A27"/>
    <w:pPr>
      <w:ind w:left="1200"/>
    </w:pPr>
    <w:rPr>
      <w:rFonts w:asciiTheme="minorHAnsi" w:hAnsiTheme="minorHAnsi" w:cstheme="minorHAnsi"/>
      <w:sz w:val="20"/>
      <w:szCs w:val="20"/>
    </w:rPr>
  </w:style>
  <w:style w:type="paragraph" w:styleId="TDC7">
    <w:name w:val="toc 7"/>
    <w:basedOn w:val="Normal"/>
    <w:next w:val="Normal"/>
    <w:autoRedefine/>
    <w:uiPriority w:val="39"/>
    <w:unhideWhenUsed/>
    <w:rsid w:val="00C52A27"/>
    <w:pPr>
      <w:ind w:left="1440"/>
    </w:pPr>
    <w:rPr>
      <w:rFonts w:asciiTheme="minorHAnsi" w:hAnsiTheme="minorHAnsi" w:cstheme="minorHAnsi"/>
      <w:sz w:val="20"/>
      <w:szCs w:val="20"/>
    </w:rPr>
  </w:style>
  <w:style w:type="paragraph" w:styleId="TDC8">
    <w:name w:val="toc 8"/>
    <w:basedOn w:val="Normal"/>
    <w:next w:val="Normal"/>
    <w:autoRedefine/>
    <w:uiPriority w:val="39"/>
    <w:unhideWhenUsed/>
    <w:rsid w:val="00C52A27"/>
    <w:pPr>
      <w:ind w:left="1680"/>
    </w:pPr>
    <w:rPr>
      <w:rFonts w:asciiTheme="minorHAnsi" w:hAnsiTheme="minorHAnsi" w:cstheme="minorHAnsi"/>
      <w:sz w:val="20"/>
      <w:szCs w:val="20"/>
    </w:rPr>
  </w:style>
  <w:style w:type="paragraph" w:styleId="TDC9">
    <w:name w:val="toc 9"/>
    <w:basedOn w:val="Normal"/>
    <w:next w:val="Normal"/>
    <w:autoRedefine/>
    <w:uiPriority w:val="39"/>
    <w:unhideWhenUsed/>
    <w:rsid w:val="00C52A27"/>
    <w:pPr>
      <w:ind w:left="1920"/>
    </w:pPr>
    <w:rPr>
      <w:rFonts w:asciiTheme="minorHAnsi" w:hAnsiTheme="minorHAnsi" w:cstheme="minorHAnsi"/>
      <w:sz w:val="20"/>
      <w:szCs w:val="20"/>
    </w:rPr>
  </w:style>
  <w:style w:type="character" w:styleId="Hipervnculo">
    <w:name w:val="Hyperlink"/>
    <w:basedOn w:val="Fuentedeprrafopredeter"/>
    <w:uiPriority w:val="99"/>
    <w:unhideWhenUsed/>
    <w:rsid w:val="00C52A27"/>
    <w:rPr>
      <w:color w:val="000000"/>
      <w:u w:val="single"/>
    </w:rPr>
  </w:style>
  <w:style w:type="paragraph" w:styleId="Encabezado">
    <w:name w:val="header"/>
    <w:basedOn w:val="Normal"/>
    <w:link w:val="EncabezadoCar"/>
    <w:uiPriority w:val="99"/>
    <w:unhideWhenUsed/>
    <w:rsid w:val="00260E34"/>
    <w:pPr>
      <w:tabs>
        <w:tab w:val="center" w:pos="4419"/>
        <w:tab w:val="right" w:pos="8838"/>
      </w:tabs>
    </w:pPr>
  </w:style>
  <w:style w:type="character" w:customStyle="1" w:styleId="EncabezadoCar">
    <w:name w:val="Encabezado Car"/>
    <w:basedOn w:val="Fuentedeprrafopredeter"/>
    <w:link w:val="Encabezado"/>
    <w:uiPriority w:val="99"/>
    <w:rsid w:val="00260E34"/>
    <w:rPr>
      <w:rFonts w:ascii="Times New Roman" w:hAnsi="Times New Roman"/>
    </w:rPr>
  </w:style>
  <w:style w:type="paragraph" w:styleId="Piedepgina">
    <w:name w:val="footer"/>
    <w:basedOn w:val="Normal"/>
    <w:link w:val="PiedepginaCar"/>
    <w:uiPriority w:val="99"/>
    <w:unhideWhenUsed/>
    <w:rsid w:val="00260E34"/>
    <w:pPr>
      <w:tabs>
        <w:tab w:val="center" w:pos="4419"/>
        <w:tab w:val="right" w:pos="8838"/>
      </w:tabs>
    </w:pPr>
  </w:style>
  <w:style w:type="character" w:customStyle="1" w:styleId="PiedepginaCar">
    <w:name w:val="Pie de página Car"/>
    <w:basedOn w:val="Fuentedeprrafopredeter"/>
    <w:link w:val="Piedepgina"/>
    <w:uiPriority w:val="99"/>
    <w:rsid w:val="00260E34"/>
    <w:rPr>
      <w:rFonts w:ascii="Times New Roman" w:hAnsi="Times New Roman"/>
    </w:rPr>
  </w:style>
  <w:style w:type="character" w:styleId="Nmerodepgina">
    <w:name w:val="page number"/>
    <w:basedOn w:val="Fuentedeprrafopredeter"/>
    <w:uiPriority w:val="99"/>
    <w:semiHidden/>
    <w:unhideWhenUsed/>
    <w:rsid w:val="00260E34"/>
  </w:style>
  <w:style w:type="character" w:styleId="Fuerte">
    <w:name w:val="Strong"/>
    <w:basedOn w:val="Fuentedeprrafopredeter"/>
    <w:uiPriority w:val="22"/>
    <w:qFormat/>
    <w:rsid w:val="00260E34"/>
    <w:rPr>
      <w:b/>
      <w:bCs/>
    </w:rPr>
  </w:style>
  <w:style w:type="paragraph" w:styleId="NormalWeb">
    <w:name w:val="Normal (Web)"/>
    <w:basedOn w:val="Normal"/>
    <w:uiPriority w:val="99"/>
    <w:semiHidden/>
    <w:unhideWhenUsed/>
    <w:rsid w:val="00260E34"/>
    <w:pPr>
      <w:spacing w:before="100" w:beforeAutospacing="1" w:after="100" w:afterAutospacing="1"/>
    </w:pPr>
  </w:style>
  <w:style w:type="paragraph" w:styleId="Sinespaciado">
    <w:name w:val="No Spacing"/>
    <w:uiPriority w:val="1"/>
    <w:qFormat/>
    <w:rsid w:val="00B10A32"/>
    <w:rPr>
      <w:rFonts w:ascii="Times New Roman" w:eastAsia="Times New Roman" w:hAnsi="Times New Roman" w:cs="Times New Roman"/>
      <w:kern w:val="0"/>
      <w:lang w:eastAsia="es-MX"/>
      <w14:ligatures w14:val="non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kern w:val="0"/>
      <w:sz w:val="20"/>
      <w:szCs w:val="20"/>
      <w:lang w:eastAsia="es-MX"/>
      <w14:ligatures w14:val="none"/>
    </w:rPr>
  </w:style>
  <w:style w:type="character" w:styleId="Refdecomentario">
    <w:name w:val="annotation reference"/>
    <w:basedOn w:val="Fuentedeprrafopredeter"/>
    <w:uiPriority w:val="99"/>
    <w:semiHidden/>
    <w:unhideWhenUsed/>
    <w:rPr>
      <w:sz w:val="16"/>
      <w:szCs w:val="16"/>
    </w:rPr>
  </w:style>
  <w:style w:type="character" w:customStyle="1" w:styleId="normaltextrun">
    <w:name w:val="normaltextrun"/>
    <w:basedOn w:val="Fuentedeprrafopredeter"/>
    <w:rsid w:val="008647DA"/>
  </w:style>
  <w:style w:type="character" w:customStyle="1" w:styleId="eop">
    <w:name w:val="eop"/>
    <w:basedOn w:val="Fuentedeprrafopredeter"/>
    <w:rsid w:val="008647DA"/>
  </w:style>
  <w:style w:type="paragraph" w:styleId="Revisin">
    <w:name w:val="Revision"/>
    <w:hidden/>
    <w:uiPriority w:val="99"/>
    <w:semiHidden/>
    <w:rsid w:val="00593C41"/>
    <w:rPr>
      <w:rFonts w:ascii="Times New Roman" w:eastAsia="Times New Roman" w:hAnsi="Times New Roman" w:cs="Times New Roman"/>
      <w:kern w:val="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614B58"/>
    <w:rPr>
      <w:b/>
      <w:bCs/>
    </w:rPr>
  </w:style>
  <w:style w:type="character" w:customStyle="1" w:styleId="AsuntodelcomentarioCar">
    <w:name w:val="Asunto del comentario Car"/>
    <w:basedOn w:val="TextocomentarioCar"/>
    <w:link w:val="Asuntodelcomentario"/>
    <w:uiPriority w:val="99"/>
    <w:semiHidden/>
    <w:rsid w:val="00614B58"/>
    <w:rPr>
      <w:rFonts w:ascii="Times New Roman" w:eastAsia="Times New Roman" w:hAnsi="Times New Roman" w:cs="Times New Roman"/>
      <w:b/>
      <w:bCs/>
      <w:kern w:val="0"/>
      <w:sz w:val="20"/>
      <w:szCs w:val="20"/>
      <w:lang w:eastAsia="es-MX"/>
      <w14:ligatures w14:val="none"/>
    </w:rPr>
  </w:style>
  <w:style w:type="paragraph" w:styleId="Descripcin">
    <w:name w:val="caption"/>
    <w:basedOn w:val="Normal"/>
    <w:next w:val="Normal"/>
    <w:uiPriority w:val="35"/>
    <w:unhideWhenUsed/>
    <w:qFormat/>
    <w:rsid w:val="00D05FCB"/>
    <w:pPr>
      <w:keepNext/>
      <w:keepLines/>
      <w:spacing w:before="120" w:after="0"/>
      <w:jc w:val="center"/>
    </w:pPr>
    <w:rPr>
      <w:i/>
      <w:iCs/>
      <w:sz w:val="20"/>
      <w:szCs w:val="20"/>
    </w:rPr>
  </w:style>
  <w:style w:type="paragraph" w:styleId="Textodeglobo">
    <w:name w:val="Balloon Text"/>
    <w:basedOn w:val="Normal"/>
    <w:link w:val="TextodegloboCar"/>
    <w:uiPriority w:val="99"/>
    <w:semiHidden/>
    <w:unhideWhenUsed/>
    <w:rsid w:val="009C5E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E98"/>
    <w:rPr>
      <w:rFonts w:ascii="Segoe UI" w:eastAsia="Times New Roman" w:hAnsi="Segoe UI" w:cs="Segoe UI"/>
      <w:kern w:val="0"/>
      <w:sz w:val="18"/>
      <w:szCs w:val="18"/>
      <w:lang w:eastAsia="es-MX"/>
      <w14:ligatures w14:val="none"/>
    </w:rPr>
  </w:style>
  <w:style w:type="paragraph" w:customStyle="1" w:styleId="Fuente">
    <w:name w:val="Fuente"/>
    <w:basedOn w:val="Normal"/>
    <w:pPr>
      <w:jc w:val="center"/>
    </w:pPr>
    <w:rPr>
      <w:i/>
      <w:iCs/>
      <w:sz w:val="20"/>
      <w:szCs w:val="20"/>
    </w:rPr>
  </w:style>
  <w:style w:type="paragraph" w:styleId="Bibliografa">
    <w:name w:val="Bibliography"/>
    <w:basedOn w:val="Normal"/>
    <w:next w:val="Normal"/>
    <w:uiPriority w:val="37"/>
    <w:unhideWhenUsed/>
    <w:rsid w:val="00E61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414">
      <w:bodyDiv w:val="1"/>
      <w:marLeft w:val="0"/>
      <w:marRight w:val="0"/>
      <w:marTop w:val="0"/>
      <w:marBottom w:val="0"/>
      <w:divBdr>
        <w:top w:val="none" w:sz="0" w:space="0" w:color="auto"/>
        <w:left w:val="none" w:sz="0" w:space="0" w:color="auto"/>
        <w:bottom w:val="none" w:sz="0" w:space="0" w:color="auto"/>
        <w:right w:val="none" w:sz="0" w:space="0" w:color="auto"/>
      </w:divBdr>
    </w:div>
    <w:div w:id="5327429">
      <w:bodyDiv w:val="1"/>
      <w:marLeft w:val="0"/>
      <w:marRight w:val="0"/>
      <w:marTop w:val="0"/>
      <w:marBottom w:val="0"/>
      <w:divBdr>
        <w:top w:val="none" w:sz="0" w:space="0" w:color="auto"/>
        <w:left w:val="none" w:sz="0" w:space="0" w:color="auto"/>
        <w:bottom w:val="none" w:sz="0" w:space="0" w:color="auto"/>
        <w:right w:val="none" w:sz="0" w:space="0" w:color="auto"/>
      </w:divBdr>
    </w:div>
    <w:div w:id="15691047">
      <w:bodyDiv w:val="1"/>
      <w:marLeft w:val="0"/>
      <w:marRight w:val="0"/>
      <w:marTop w:val="0"/>
      <w:marBottom w:val="0"/>
      <w:divBdr>
        <w:top w:val="none" w:sz="0" w:space="0" w:color="auto"/>
        <w:left w:val="none" w:sz="0" w:space="0" w:color="auto"/>
        <w:bottom w:val="none" w:sz="0" w:space="0" w:color="auto"/>
        <w:right w:val="none" w:sz="0" w:space="0" w:color="auto"/>
      </w:divBdr>
    </w:div>
    <w:div w:id="40448346">
      <w:bodyDiv w:val="1"/>
      <w:marLeft w:val="0"/>
      <w:marRight w:val="0"/>
      <w:marTop w:val="0"/>
      <w:marBottom w:val="0"/>
      <w:divBdr>
        <w:top w:val="none" w:sz="0" w:space="0" w:color="auto"/>
        <w:left w:val="none" w:sz="0" w:space="0" w:color="auto"/>
        <w:bottom w:val="none" w:sz="0" w:space="0" w:color="auto"/>
        <w:right w:val="none" w:sz="0" w:space="0" w:color="auto"/>
      </w:divBdr>
    </w:div>
    <w:div w:id="74473364">
      <w:bodyDiv w:val="1"/>
      <w:marLeft w:val="0"/>
      <w:marRight w:val="0"/>
      <w:marTop w:val="0"/>
      <w:marBottom w:val="0"/>
      <w:divBdr>
        <w:top w:val="none" w:sz="0" w:space="0" w:color="auto"/>
        <w:left w:val="none" w:sz="0" w:space="0" w:color="auto"/>
        <w:bottom w:val="none" w:sz="0" w:space="0" w:color="auto"/>
        <w:right w:val="none" w:sz="0" w:space="0" w:color="auto"/>
      </w:divBdr>
    </w:div>
    <w:div w:id="100687522">
      <w:bodyDiv w:val="1"/>
      <w:marLeft w:val="0"/>
      <w:marRight w:val="0"/>
      <w:marTop w:val="0"/>
      <w:marBottom w:val="0"/>
      <w:divBdr>
        <w:top w:val="none" w:sz="0" w:space="0" w:color="auto"/>
        <w:left w:val="none" w:sz="0" w:space="0" w:color="auto"/>
        <w:bottom w:val="none" w:sz="0" w:space="0" w:color="auto"/>
        <w:right w:val="none" w:sz="0" w:space="0" w:color="auto"/>
      </w:divBdr>
    </w:div>
    <w:div w:id="106199209">
      <w:bodyDiv w:val="1"/>
      <w:marLeft w:val="0"/>
      <w:marRight w:val="0"/>
      <w:marTop w:val="0"/>
      <w:marBottom w:val="0"/>
      <w:divBdr>
        <w:top w:val="none" w:sz="0" w:space="0" w:color="auto"/>
        <w:left w:val="none" w:sz="0" w:space="0" w:color="auto"/>
        <w:bottom w:val="none" w:sz="0" w:space="0" w:color="auto"/>
        <w:right w:val="none" w:sz="0" w:space="0" w:color="auto"/>
      </w:divBdr>
    </w:div>
    <w:div w:id="109979784">
      <w:bodyDiv w:val="1"/>
      <w:marLeft w:val="0"/>
      <w:marRight w:val="0"/>
      <w:marTop w:val="0"/>
      <w:marBottom w:val="0"/>
      <w:divBdr>
        <w:top w:val="none" w:sz="0" w:space="0" w:color="auto"/>
        <w:left w:val="none" w:sz="0" w:space="0" w:color="auto"/>
        <w:bottom w:val="none" w:sz="0" w:space="0" w:color="auto"/>
        <w:right w:val="none" w:sz="0" w:space="0" w:color="auto"/>
      </w:divBdr>
    </w:div>
    <w:div w:id="112789666">
      <w:bodyDiv w:val="1"/>
      <w:marLeft w:val="0"/>
      <w:marRight w:val="0"/>
      <w:marTop w:val="0"/>
      <w:marBottom w:val="0"/>
      <w:divBdr>
        <w:top w:val="none" w:sz="0" w:space="0" w:color="auto"/>
        <w:left w:val="none" w:sz="0" w:space="0" w:color="auto"/>
        <w:bottom w:val="none" w:sz="0" w:space="0" w:color="auto"/>
        <w:right w:val="none" w:sz="0" w:space="0" w:color="auto"/>
      </w:divBdr>
    </w:div>
    <w:div w:id="170948147">
      <w:bodyDiv w:val="1"/>
      <w:marLeft w:val="0"/>
      <w:marRight w:val="0"/>
      <w:marTop w:val="0"/>
      <w:marBottom w:val="0"/>
      <w:divBdr>
        <w:top w:val="none" w:sz="0" w:space="0" w:color="auto"/>
        <w:left w:val="none" w:sz="0" w:space="0" w:color="auto"/>
        <w:bottom w:val="none" w:sz="0" w:space="0" w:color="auto"/>
        <w:right w:val="none" w:sz="0" w:space="0" w:color="auto"/>
      </w:divBdr>
    </w:div>
    <w:div w:id="221647302">
      <w:bodyDiv w:val="1"/>
      <w:marLeft w:val="0"/>
      <w:marRight w:val="0"/>
      <w:marTop w:val="0"/>
      <w:marBottom w:val="0"/>
      <w:divBdr>
        <w:top w:val="none" w:sz="0" w:space="0" w:color="auto"/>
        <w:left w:val="none" w:sz="0" w:space="0" w:color="auto"/>
        <w:bottom w:val="none" w:sz="0" w:space="0" w:color="auto"/>
        <w:right w:val="none" w:sz="0" w:space="0" w:color="auto"/>
      </w:divBdr>
    </w:div>
    <w:div w:id="251937070">
      <w:bodyDiv w:val="1"/>
      <w:marLeft w:val="0"/>
      <w:marRight w:val="0"/>
      <w:marTop w:val="0"/>
      <w:marBottom w:val="0"/>
      <w:divBdr>
        <w:top w:val="none" w:sz="0" w:space="0" w:color="auto"/>
        <w:left w:val="none" w:sz="0" w:space="0" w:color="auto"/>
        <w:bottom w:val="none" w:sz="0" w:space="0" w:color="auto"/>
        <w:right w:val="none" w:sz="0" w:space="0" w:color="auto"/>
      </w:divBdr>
    </w:div>
    <w:div w:id="256599792">
      <w:bodyDiv w:val="1"/>
      <w:marLeft w:val="0"/>
      <w:marRight w:val="0"/>
      <w:marTop w:val="0"/>
      <w:marBottom w:val="0"/>
      <w:divBdr>
        <w:top w:val="none" w:sz="0" w:space="0" w:color="auto"/>
        <w:left w:val="none" w:sz="0" w:space="0" w:color="auto"/>
        <w:bottom w:val="none" w:sz="0" w:space="0" w:color="auto"/>
        <w:right w:val="none" w:sz="0" w:space="0" w:color="auto"/>
      </w:divBdr>
    </w:div>
    <w:div w:id="258871298">
      <w:bodyDiv w:val="1"/>
      <w:marLeft w:val="0"/>
      <w:marRight w:val="0"/>
      <w:marTop w:val="0"/>
      <w:marBottom w:val="0"/>
      <w:divBdr>
        <w:top w:val="none" w:sz="0" w:space="0" w:color="auto"/>
        <w:left w:val="none" w:sz="0" w:space="0" w:color="auto"/>
        <w:bottom w:val="none" w:sz="0" w:space="0" w:color="auto"/>
        <w:right w:val="none" w:sz="0" w:space="0" w:color="auto"/>
      </w:divBdr>
    </w:div>
    <w:div w:id="335302893">
      <w:bodyDiv w:val="1"/>
      <w:marLeft w:val="0"/>
      <w:marRight w:val="0"/>
      <w:marTop w:val="0"/>
      <w:marBottom w:val="0"/>
      <w:divBdr>
        <w:top w:val="none" w:sz="0" w:space="0" w:color="auto"/>
        <w:left w:val="none" w:sz="0" w:space="0" w:color="auto"/>
        <w:bottom w:val="none" w:sz="0" w:space="0" w:color="auto"/>
        <w:right w:val="none" w:sz="0" w:space="0" w:color="auto"/>
      </w:divBdr>
    </w:div>
    <w:div w:id="339890470">
      <w:bodyDiv w:val="1"/>
      <w:marLeft w:val="0"/>
      <w:marRight w:val="0"/>
      <w:marTop w:val="0"/>
      <w:marBottom w:val="0"/>
      <w:divBdr>
        <w:top w:val="none" w:sz="0" w:space="0" w:color="auto"/>
        <w:left w:val="none" w:sz="0" w:space="0" w:color="auto"/>
        <w:bottom w:val="none" w:sz="0" w:space="0" w:color="auto"/>
        <w:right w:val="none" w:sz="0" w:space="0" w:color="auto"/>
      </w:divBdr>
    </w:div>
    <w:div w:id="348987556">
      <w:bodyDiv w:val="1"/>
      <w:marLeft w:val="0"/>
      <w:marRight w:val="0"/>
      <w:marTop w:val="0"/>
      <w:marBottom w:val="0"/>
      <w:divBdr>
        <w:top w:val="none" w:sz="0" w:space="0" w:color="auto"/>
        <w:left w:val="none" w:sz="0" w:space="0" w:color="auto"/>
        <w:bottom w:val="none" w:sz="0" w:space="0" w:color="auto"/>
        <w:right w:val="none" w:sz="0" w:space="0" w:color="auto"/>
      </w:divBdr>
    </w:div>
    <w:div w:id="408772898">
      <w:bodyDiv w:val="1"/>
      <w:marLeft w:val="0"/>
      <w:marRight w:val="0"/>
      <w:marTop w:val="0"/>
      <w:marBottom w:val="0"/>
      <w:divBdr>
        <w:top w:val="none" w:sz="0" w:space="0" w:color="auto"/>
        <w:left w:val="none" w:sz="0" w:space="0" w:color="auto"/>
        <w:bottom w:val="none" w:sz="0" w:space="0" w:color="auto"/>
        <w:right w:val="none" w:sz="0" w:space="0" w:color="auto"/>
      </w:divBdr>
    </w:div>
    <w:div w:id="423963179">
      <w:bodyDiv w:val="1"/>
      <w:marLeft w:val="0"/>
      <w:marRight w:val="0"/>
      <w:marTop w:val="0"/>
      <w:marBottom w:val="0"/>
      <w:divBdr>
        <w:top w:val="none" w:sz="0" w:space="0" w:color="auto"/>
        <w:left w:val="none" w:sz="0" w:space="0" w:color="auto"/>
        <w:bottom w:val="none" w:sz="0" w:space="0" w:color="auto"/>
        <w:right w:val="none" w:sz="0" w:space="0" w:color="auto"/>
      </w:divBdr>
    </w:div>
    <w:div w:id="454563283">
      <w:bodyDiv w:val="1"/>
      <w:marLeft w:val="0"/>
      <w:marRight w:val="0"/>
      <w:marTop w:val="0"/>
      <w:marBottom w:val="0"/>
      <w:divBdr>
        <w:top w:val="none" w:sz="0" w:space="0" w:color="auto"/>
        <w:left w:val="none" w:sz="0" w:space="0" w:color="auto"/>
        <w:bottom w:val="none" w:sz="0" w:space="0" w:color="auto"/>
        <w:right w:val="none" w:sz="0" w:space="0" w:color="auto"/>
      </w:divBdr>
    </w:div>
    <w:div w:id="478424428">
      <w:bodyDiv w:val="1"/>
      <w:marLeft w:val="0"/>
      <w:marRight w:val="0"/>
      <w:marTop w:val="0"/>
      <w:marBottom w:val="0"/>
      <w:divBdr>
        <w:top w:val="none" w:sz="0" w:space="0" w:color="auto"/>
        <w:left w:val="none" w:sz="0" w:space="0" w:color="auto"/>
        <w:bottom w:val="none" w:sz="0" w:space="0" w:color="auto"/>
        <w:right w:val="none" w:sz="0" w:space="0" w:color="auto"/>
      </w:divBdr>
    </w:div>
    <w:div w:id="532503299">
      <w:bodyDiv w:val="1"/>
      <w:marLeft w:val="0"/>
      <w:marRight w:val="0"/>
      <w:marTop w:val="0"/>
      <w:marBottom w:val="0"/>
      <w:divBdr>
        <w:top w:val="none" w:sz="0" w:space="0" w:color="auto"/>
        <w:left w:val="none" w:sz="0" w:space="0" w:color="auto"/>
        <w:bottom w:val="none" w:sz="0" w:space="0" w:color="auto"/>
        <w:right w:val="none" w:sz="0" w:space="0" w:color="auto"/>
      </w:divBdr>
    </w:div>
    <w:div w:id="597250357">
      <w:bodyDiv w:val="1"/>
      <w:marLeft w:val="0"/>
      <w:marRight w:val="0"/>
      <w:marTop w:val="0"/>
      <w:marBottom w:val="0"/>
      <w:divBdr>
        <w:top w:val="none" w:sz="0" w:space="0" w:color="auto"/>
        <w:left w:val="none" w:sz="0" w:space="0" w:color="auto"/>
        <w:bottom w:val="none" w:sz="0" w:space="0" w:color="auto"/>
        <w:right w:val="none" w:sz="0" w:space="0" w:color="auto"/>
      </w:divBdr>
    </w:div>
    <w:div w:id="653068724">
      <w:bodyDiv w:val="1"/>
      <w:marLeft w:val="0"/>
      <w:marRight w:val="0"/>
      <w:marTop w:val="0"/>
      <w:marBottom w:val="0"/>
      <w:divBdr>
        <w:top w:val="none" w:sz="0" w:space="0" w:color="auto"/>
        <w:left w:val="none" w:sz="0" w:space="0" w:color="auto"/>
        <w:bottom w:val="none" w:sz="0" w:space="0" w:color="auto"/>
        <w:right w:val="none" w:sz="0" w:space="0" w:color="auto"/>
      </w:divBdr>
    </w:div>
    <w:div w:id="686099006">
      <w:bodyDiv w:val="1"/>
      <w:marLeft w:val="0"/>
      <w:marRight w:val="0"/>
      <w:marTop w:val="0"/>
      <w:marBottom w:val="0"/>
      <w:divBdr>
        <w:top w:val="none" w:sz="0" w:space="0" w:color="auto"/>
        <w:left w:val="none" w:sz="0" w:space="0" w:color="auto"/>
        <w:bottom w:val="none" w:sz="0" w:space="0" w:color="auto"/>
        <w:right w:val="none" w:sz="0" w:space="0" w:color="auto"/>
      </w:divBdr>
    </w:div>
    <w:div w:id="728575430">
      <w:bodyDiv w:val="1"/>
      <w:marLeft w:val="0"/>
      <w:marRight w:val="0"/>
      <w:marTop w:val="0"/>
      <w:marBottom w:val="0"/>
      <w:divBdr>
        <w:top w:val="none" w:sz="0" w:space="0" w:color="auto"/>
        <w:left w:val="none" w:sz="0" w:space="0" w:color="auto"/>
        <w:bottom w:val="none" w:sz="0" w:space="0" w:color="auto"/>
        <w:right w:val="none" w:sz="0" w:space="0" w:color="auto"/>
      </w:divBdr>
    </w:div>
    <w:div w:id="735015028">
      <w:bodyDiv w:val="1"/>
      <w:marLeft w:val="0"/>
      <w:marRight w:val="0"/>
      <w:marTop w:val="0"/>
      <w:marBottom w:val="0"/>
      <w:divBdr>
        <w:top w:val="none" w:sz="0" w:space="0" w:color="auto"/>
        <w:left w:val="none" w:sz="0" w:space="0" w:color="auto"/>
        <w:bottom w:val="none" w:sz="0" w:space="0" w:color="auto"/>
        <w:right w:val="none" w:sz="0" w:space="0" w:color="auto"/>
      </w:divBdr>
    </w:div>
    <w:div w:id="750932987">
      <w:bodyDiv w:val="1"/>
      <w:marLeft w:val="0"/>
      <w:marRight w:val="0"/>
      <w:marTop w:val="0"/>
      <w:marBottom w:val="0"/>
      <w:divBdr>
        <w:top w:val="none" w:sz="0" w:space="0" w:color="auto"/>
        <w:left w:val="none" w:sz="0" w:space="0" w:color="auto"/>
        <w:bottom w:val="none" w:sz="0" w:space="0" w:color="auto"/>
        <w:right w:val="none" w:sz="0" w:space="0" w:color="auto"/>
      </w:divBdr>
    </w:div>
    <w:div w:id="819737098">
      <w:bodyDiv w:val="1"/>
      <w:marLeft w:val="0"/>
      <w:marRight w:val="0"/>
      <w:marTop w:val="0"/>
      <w:marBottom w:val="0"/>
      <w:divBdr>
        <w:top w:val="none" w:sz="0" w:space="0" w:color="auto"/>
        <w:left w:val="none" w:sz="0" w:space="0" w:color="auto"/>
        <w:bottom w:val="none" w:sz="0" w:space="0" w:color="auto"/>
        <w:right w:val="none" w:sz="0" w:space="0" w:color="auto"/>
      </w:divBdr>
    </w:div>
    <w:div w:id="836073485">
      <w:bodyDiv w:val="1"/>
      <w:marLeft w:val="0"/>
      <w:marRight w:val="0"/>
      <w:marTop w:val="0"/>
      <w:marBottom w:val="0"/>
      <w:divBdr>
        <w:top w:val="none" w:sz="0" w:space="0" w:color="auto"/>
        <w:left w:val="none" w:sz="0" w:space="0" w:color="auto"/>
        <w:bottom w:val="none" w:sz="0" w:space="0" w:color="auto"/>
        <w:right w:val="none" w:sz="0" w:space="0" w:color="auto"/>
      </w:divBdr>
    </w:div>
    <w:div w:id="839733524">
      <w:bodyDiv w:val="1"/>
      <w:marLeft w:val="0"/>
      <w:marRight w:val="0"/>
      <w:marTop w:val="0"/>
      <w:marBottom w:val="0"/>
      <w:divBdr>
        <w:top w:val="none" w:sz="0" w:space="0" w:color="auto"/>
        <w:left w:val="none" w:sz="0" w:space="0" w:color="auto"/>
        <w:bottom w:val="none" w:sz="0" w:space="0" w:color="auto"/>
        <w:right w:val="none" w:sz="0" w:space="0" w:color="auto"/>
      </w:divBdr>
    </w:div>
    <w:div w:id="970131082">
      <w:bodyDiv w:val="1"/>
      <w:marLeft w:val="0"/>
      <w:marRight w:val="0"/>
      <w:marTop w:val="0"/>
      <w:marBottom w:val="0"/>
      <w:divBdr>
        <w:top w:val="none" w:sz="0" w:space="0" w:color="auto"/>
        <w:left w:val="none" w:sz="0" w:space="0" w:color="auto"/>
        <w:bottom w:val="none" w:sz="0" w:space="0" w:color="auto"/>
        <w:right w:val="none" w:sz="0" w:space="0" w:color="auto"/>
      </w:divBdr>
    </w:div>
    <w:div w:id="1122765320">
      <w:bodyDiv w:val="1"/>
      <w:marLeft w:val="0"/>
      <w:marRight w:val="0"/>
      <w:marTop w:val="0"/>
      <w:marBottom w:val="0"/>
      <w:divBdr>
        <w:top w:val="none" w:sz="0" w:space="0" w:color="auto"/>
        <w:left w:val="none" w:sz="0" w:space="0" w:color="auto"/>
        <w:bottom w:val="none" w:sz="0" w:space="0" w:color="auto"/>
        <w:right w:val="none" w:sz="0" w:space="0" w:color="auto"/>
      </w:divBdr>
    </w:div>
    <w:div w:id="1211266113">
      <w:bodyDiv w:val="1"/>
      <w:marLeft w:val="0"/>
      <w:marRight w:val="0"/>
      <w:marTop w:val="0"/>
      <w:marBottom w:val="0"/>
      <w:divBdr>
        <w:top w:val="none" w:sz="0" w:space="0" w:color="auto"/>
        <w:left w:val="none" w:sz="0" w:space="0" w:color="auto"/>
        <w:bottom w:val="none" w:sz="0" w:space="0" w:color="auto"/>
        <w:right w:val="none" w:sz="0" w:space="0" w:color="auto"/>
      </w:divBdr>
    </w:div>
    <w:div w:id="1250777420">
      <w:bodyDiv w:val="1"/>
      <w:marLeft w:val="0"/>
      <w:marRight w:val="0"/>
      <w:marTop w:val="0"/>
      <w:marBottom w:val="0"/>
      <w:divBdr>
        <w:top w:val="none" w:sz="0" w:space="0" w:color="auto"/>
        <w:left w:val="none" w:sz="0" w:space="0" w:color="auto"/>
        <w:bottom w:val="none" w:sz="0" w:space="0" w:color="auto"/>
        <w:right w:val="none" w:sz="0" w:space="0" w:color="auto"/>
      </w:divBdr>
    </w:div>
    <w:div w:id="1392343677">
      <w:bodyDiv w:val="1"/>
      <w:marLeft w:val="0"/>
      <w:marRight w:val="0"/>
      <w:marTop w:val="0"/>
      <w:marBottom w:val="0"/>
      <w:divBdr>
        <w:top w:val="none" w:sz="0" w:space="0" w:color="auto"/>
        <w:left w:val="none" w:sz="0" w:space="0" w:color="auto"/>
        <w:bottom w:val="none" w:sz="0" w:space="0" w:color="auto"/>
        <w:right w:val="none" w:sz="0" w:space="0" w:color="auto"/>
      </w:divBdr>
    </w:div>
    <w:div w:id="1393431939">
      <w:bodyDiv w:val="1"/>
      <w:marLeft w:val="0"/>
      <w:marRight w:val="0"/>
      <w:marTop w:val="0"/>
      <w:marBottom w:val="0"/>
      <w:divBdr>
        <w:top w:val="none" w:sz="0" w:space="0" w:color="auto"/>
        <w:left w:val="none" w:sz="0" w:space="0" w:color="auto"/>
        <w:bottom w:val="none" w:sz="0" w:space="0" w:color="auto"/>
        <w:right w:val="none" w:sz="0" w:space="0" w:color="auto"/>
      </w:divBdr>
    </w:div>
    <w:div w:id="1394892034">
      <w:bodyDiv w:val="1"/>
      <w:marLeft w:val="0"/>
      <w:marRight w:val="0"/>
      <w:marTop w:val="0"/>
      <w:marBottom w:val="0"/>
      <w:divBdr>
        <w:top w:val="none" w:sz="0" w:space="0" w:color="auto"/>
        <w:left w:val="none" w:sz="0" w:space="0" w:color="auto"/>
        <w:bottom w:val="none" w:sz="0" w:space="0" w:color="auto"/>
        <w:right w:val="none" w:sz="0" w:space="0" w:color="auto"/>
      </w:divBdr>
    </w:div>
    <w:div w:id="1408960799">
      <w:bodyDiv w:val="1"/>
      <w:marLeft w:val="0"/>
      <w:marRight w:val="0"/>
      <w:marTop w:val="0"/>
      <w:marBottom w:val="0"/>
      <w:divBdr>
        <w:top w:val="none" w:sz="0" w:space="0" w:color="auto"/>
        <w:left w:val="none" w:sz="0" w:space="0" w:color="auto"/>
        <w:bottom w:val="none" w:sz="0" w:space="0" w:color="auto"/>
        <w:right w:val="none" w:sz="0" w:space="0" w:color="auto"/>
      </w:divBdr>
    </w:div>
    <w:div w:id="1416241230">
      <w:bodyDiv w:val="1"/>
      <w:marLeft w:val="0"/>
      <w:marRight w:val="0"/>
      <w:marTop w:val="0"/>
      <w:marBottom w:val="0"/>
      <w:divBdr>
        <w:top w:val="none" w:sz="0" w:space="0" w:color="auto"/>
        <w:left w:val="none" w:sz="0" w:space="0" w:color="auto"/>
        <w:bottom w:val="none" w:sz="0" w:space="0" w:color="auto"/>
        <w:right w:val="none" w:sz="0" w:space="0" w:color="auto"/>
      </w:divBdr>
    </w:div>
    <w:div w:id="1427309129">
      <w:bodyDiv w:val="1"/>
      <w:marLeft w:val="0"/>
      <w:marRight w:val="0"/>
      <w:marTop w:val="0"/>
      <w:marBottom w:val="0"/>
      <w:divBdr>
        <w:top w:val="none" w:sz="0" w:space="0" w:color="auto"/>
        <w:left w:val="none" w:sz="0" w:space="0" w:color="auto"/>
        <w:bottom w:val="none" w:sz="0" w:space="0" w:color="auto"/>
        <w:right w:val="none" w:sz="0" w:space="0" w:color="auto"/>
      </w:divBdr>
    </w:div>
    <w:div w:id="1453553374">
      <w:bodyDiv w:val="1"/>
      <w:marLeft w:val="0"/>
      <w:marRight w:val="0"/>
      <w:marTop w:val="0"/>
      <w:marBottom w:val="0"/>
      <w:divBdr>
        <w:top w:val="none" w:sz="0" w:space="0" w:color="auto"/>
        <w:left w:val="none" w:sz="0" w:space="0" w:color="auto"/>
        <w:bottom w:val="none" w:sz="0" w:space="0" w:color="auto"/>
        <w:right w:val="none" w:sz="0" w:space="0" w:color="auto"/>
      </w:divBdr>
    </w:div>
    <w:div w:id="1466972126">
      <w:bodyDiv w:val="1"/>
      <w:marLeft w:val="0"/>
      <w:marRight w:val="0"/>
      <w:marTop w:val="0"/>
      <w:marBottom w:val="0"/>
      <w:divBdr>
        <w:top w:val="none" w:sz="0" w:space="0" w:color="auto"/>
        <w:left w:val="none" w:sz="0" w:space="0" w:color="auto"/>
        <w:bottom w:val="none" w:sz="0" w:space="0" w:color="auto"/>
        <w:right w:val="none" w:sz="0" w:space="0" w:color="auto"/>
      </w:divBdr>
    </w:div>
    <w:div w:id="1551334736">
      <w:bodyDiv w:val="1"/>
      <w:marLeft w:val="0"/>
      <w:marRight w:val="0"/>
      <w:marTop w:val="0"/>
      <w:marBottom w:val="0"/>
      <w:divBdr>
        <w:top w:val="none" w:sz="0" w:space="0" w:color="auto"/>
        <w:left w:val="none" w:sz="0" w:space="0" w:color="auto"/>
        <w:bottom w:val="none" w:sz="0" w:space="0" w:color="auto"/>
        <w:right w:val="none" w:sz="0" w:space="0" w:color="auto"/>
      </w:divBdr>
    </w:div>
    <w:div w:id="1661693959">
      <w:bodyDiv w:val="1"/>
      <w:marLeft w:val="0"/>
      <w:marRight w:val="0"/>
      <w:marTop w:val="0"/>
      <w:marBottom w:val="0"/>
      <w:divBdr>
        <w:top w:val="none" w:sz="0" w:space="0" w:color="auto"/>
        <w:left w:val="none" w:sz="0" w:space="0" w:color="auto"/>
        <w:bottom w:val="none" w:sz="0" w:space="0" w:color="auto"/>
        <w:right w:val="none" w:sz="0" w:space="0" w:color="auto"/>
      </w:divBdr>
    </w:div>
    <w:div w:id="1795051497">
      <w:bodyDiv w:val="1"/>
      <w:marLeft w:val="0"/>
      <w:marRight w:val="0"/>
      <w:marTop w:val="0"/>
      <w:marBottom w:val="0"/>
      <w:divBdr>
        <w:top w:val="none" w:sz="0" w:space="0" w:color="auto"/>
        <w:left w:val="none" w:sz="0" w:space="0" w:color="auto"/>
        <w:bottom w:val="none" w:sz="0" w:space="0" w:color="auto"/>
        <w:right w:val="none" w:sz="0" w:space="0" w:color="auto"/>
      </w:divBdr>
    </w:div>
    <w:div w:id="1822115933">
      <w:bodyDiv w:val="1"/>
      <w:marLeft w:val="0"/>
      <w:marRight w:val="0"/>
      <w:marTop w:val="0"/>
      <w:marBottom w:val="0"/>
      <w:divBdr>
        <w:top w:val="none" w:sz="0" w:space="0" w:color="auto"/>
        <w:left w:val="none" w:sz="0" w:space="0" w:color="auto"/>
        <w:bottom w:val="none" w:sz="0" w:space="0" w:color="auto"/>
        <w:right w:val="none" w:sz="0" w:space="0" w:color="auto"/>
      </w:divBdr>
    </w:div>
    <w:div w:id="1855147881">
      <w:bodyDiv w:val="1"/>
      <w:marLeft w:val="0"/>
      <w:marRight w:val="0"/>
      <w:marTop w:val="0"/>
      <w:marBottom w:val="0"/>
      <w:divBdr>
        <w:top w:val="none" w:sz="0" w:space="0" w:color="auto"/>
        <w:left w:val="none" w:sz="0" w:space="0" w:color="auto"/>
        <w:bottom w:val="none" w:sz="0" w:space="0" w:color="auto"/>
        <w:right w:val="none" w:sz="0" w:space="0" w:color="auto"/>
      </w:divBdr>
    </w:div>
    <w:div w:id="1889608741">
      <w:bodyDiv w:val="1"/>
      <w:marLeft w:val="0"/>
      <w:marRight w:val="0"/>
      <w:marTop w:val="0"/>
      <w:marBottom w:val="0"/>
      <w:divBdr>
        <w:top w:val="none" w:sz="0" w:space="0" w:color="auto"/>
        <w:left w:val="none" w:sz="0" w:space="0" w:color="auto"/>
        <w:bottom w:val="none" w:sz="0" w:space="0" w:color="auto"/>
        <w:right w:val="none" w:sz="0" w:space="0" w:color="auto"/>
      </w:divBdr>
    </w:div>
    <w:div w:id="1915355287">
      <w:bodyDiv w:val="1"/>
      <w:marLeft w:val="0"/>
      <w:marRight w:val="0"/>
      <w:marTop w:val="0"/>
      <w:marBottom w:val="0"/>
      <w:divBdr>
        <w:top w:val="none" w:sz="0" w:space="0" w:color="auto"/>
        <w:left w:val="none" w:sz="0" w:space="0" w:color="auto"/>
        <w:bottom w:val="none" w:sz="0" w:space="0" w:color="auto"/>
        <w:right w:val="none" w:sz="0" w:space="0" w:color="auto"/>
      </w:divBdr>
    </w:div>
    <w:div w:id="1919826204">
      <w:bodyDiv w:val="1"/>
      <w:marLeft w:val="0"/>
      <w:marRight w:val="0"/>
      <w:marTop w:val="0"/>
      <w:marBottom w:val="0"/>
      <w:divBdr>
        <w:top w:val="none" w:sz="0" w:space="0" w:color="auto"/>
        <w:left w:val="none" w:sz="0" w:space="0" w:color="auto"/>
        <w:bottom w:val="none" w:sz="0" w:space="0" w:color="auto"/>
        <w:right w:val="none" w:sz="0" w:space="0" w:color="auto"/>
      </w:divBdr>
    </w:div>
    <w:div w:id="1982541687">
      <w:bodyDiv w:val="1"/>
      <w:marLeft w:val="0"/>
      <w:marRight w:val="0"/>
      <w:marTop w:val="0"/>
      <w:marBottom w:val="0"/>
      <w:divBdr>
        <w:top w:val="none" w:sz="0" w:space="0" w:color="auto"/>
        <w:left w:val="none" w:sz="0" w:space="0" w:color="auto"/>
        <w:bottom w:val="none" w:sz="0" w:space="0" w:color="auto"/>
        <w:right w:val="none" w:sz="0" w:space="0" w:color="auto"/>
      </w:divBdr>
    </w:div>
    <w:div w:id="2066416874">
      <w:bodyDiv w:val="1"/>
      <w:marLeft w:val="0"/>
      <w:marRight w:val="0"/>
      <w:marTop w:val="0"/>
      <w:marBottom w:val="0"/>
      <w:divBdr>
        <w:top w:val="none" w:sz="0" w:space="0" w:color="auto"/>
        <w:left w:val="none" w:sz="0" w:space="0" w:color="auto"/>
        <w:bottom w:val="none" w:sz="0" w:space="0" w:color="auto"/>
        <w:right w:val="none" w:sz="0" w:space="0" w:color="auto"/>
      </w:divBdr>
    </w:div>
    <w:div w:id="2071690778">
      <w:bodyDiv w:val="1"/>
      <w:marLeft w:val="0"/>
      <w:marRight w:val="0"/>
      <w:marTop w:val="0"/>
      <w:marBottom w:val="0"/>
      <w:divBdr>
        <w:top w:val="none" w:sz="0" w:space="0" w:color="auto"/>
        <w:left w:val="none" w:sz="0" w:space="0" w:color="auto"/>
        <w:bottom w:val="none" w:sz="0" w:space="0" w:color="auto"/>
        <w:right w:val="none" w:sz="0" w:space="0" w:color="auto"/>
      </w:divBdr>
    </w:div>
    <w:div w:id="2115318998">
      <w:bodyDiv w:val="1"/>
      <w:marLeft w:val="0"/>
      <w:marRight w:val="0"/>
      <w:marTop w:val="0"/>
      <w:marBottom w:val="0"/>
      <w:divBdr>
        <w:top w:val="none" w:sz="0" w:space="0" w:color="auto"/>
        <w:left w:val="none" w:sz="0" w:space="0" w:color="auto"/>
        <w:bottom w:val="none" w:sz="0" w:space="0" w:color="auto"/>
        <w:right w:val="none" w:sz="0" w:space="0" w:color="auto"/>
      </w:divBdr>
    </w:div>
    <w:div w:id="21246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http://schemas.openxmlformats.org/officeDocument/2006/bibliography" SelectedStyle="/APASixthEditionOfficeOnline.xsl" StyleName="APA" Version="6">
  <Source>
    <Tag>Min26</Tag>
    <SourceType>DocumentFromInternetSite</SourceType>
    <Guid>{E606E91F-0A0B-4448-A027-92F484D923F6}</Guid>
    <Author>
      <Author>
        <Corporate>Ministerio de Economía, Comercio e Industria de Japón (METI)</Corporate>
      </Author>
    </Author>
    <Title>Política para garantizar el suministro estable de minerales importantes</Title>
    <Year>2026</Year>
    <URL>https://www.meti.go.jp/policy/economy/economic_security/metal/250619_torikumihoshin.pdf</URL>
    <b:RefOrder xmlns:b="http://schemas.openxmlformats.org/officeDocument/2006/bibliography">19</b:RefOrder>
  </Source>
  <Source>
    <Tag>Min16</Tag>
    <SourceType>InternetSite</SourceType>
    <Guid>{912C1F70-CE46-B244-A3A8-749CA30FBEFE}</Guid>
    <Title>Ministerio de Minas y Acero de Nigeria</Title>
    <URL>https://msmd.gov.ng/wp-content/uploads/2023/03/Nigeria-Ministry-of-Solid-Minerals-Investment-BrochureV12.pdf?utm</URL>
    <Year>2016</Year>
    <Author>
      <Author>
        <Corporate>Ministerio de Minas y Acero de Nigeria</Corporate>
      </Author>
    </Author>
    <b:RefOrder xmlns:b="http://schemas.openxmlformats.org/officeDocument/2006/bibliography">12</b:RefOrder>
  </Source>
  <Source>
    <Tag>Min262</Tag>
    <SourceType>InternetSite</SourceType>
    <Guid>{EF1FE18B-4962-4BF1-91C2-80A5CE7287B6}</Guid>
    <Author>
      <Author>
        <Corporate>MINEM</Corporate>
      </Author>
    </Author>
    <Year>2026</Year>
    <Month>Marzo</Month>
    <URL>https://www.gob.pe/institucion/minem/noticias/1360664-peru-presenta-ante-el-mundo-su-potencial-y-oportunidades-de-inversion-en-minerales-criticos-y-estrategicos</URL>
    <Title>Ministerio de Minas y Energía del Estado Peruano</Title>
    <b:RefOrder xmlns:b="http://schemas.openxmlformats.org/officeDocument/2006/bibliography">8</b:RefOrder>
  </Source>
  <Source>
    <Tag>NzMin25</Tag>
    <SourceType>InternetSite</SourceType>
    <Guid>{9C76240A-11A0-4D0A-9BFD-5DAFD8ACAEAD}</Guid>
    <Author>
      <Author>
        <Corporate>Ministry of Business, Innovation &amp; Employment</Corporate>
      </Author>
    </Author>
    <Title> A critical minerals list for New Zealand. New Zealand Government</Title>
    <Year>2025</Year>
    <URL>https://www.mbie.govt.nz/building-and-energy/energy-and-natural-resources/minerals-and-petroleum/critical-minerals-list/critical-minerals-list-2025</URL>
    <b:RefOrder xmlns:b="http://schemas.openxmlformats.org/officeDocument/2006/bibliography">18</b:RefOrder>
  </Source>
  <Source>
    <Tag>Min24</Tag>
    <SourceType>InternetSite</SourceType>
    <Guid>{37F281D9-0740-384F-8671-8ACF263EE46E}</Guid>
    <Title>Ministerio de Energía y Recursos Minerales</Title>
    <URL>https://jdih.esdm.go.id/dokumen/download?id=Kepmen+ESDM+No+69K_MB_01_MEM_B_2024.pdf</URL>
    <Year>2024</Year>
    <Author>
      <Author>
        <Corporate>Ministerio de Energía y Recursos Minerales</Corporate>
      </Author>
    </Author>
    <b:RefOrder xmlns:b="http://schemas.openxmlformats.org/officeDocument/2006/bibliography">11</b:RefOrder>
  </Source>
  <Source>
    <Tag>Min25</Tag>
    <SourceType>InternetSite</SourceType>
    <Guid>{BB022056-BE8A-284E-8D18-B677D3CA0D27}</Guid>
    <Title>Ministerio Federal de Información y Orientación Nacional</Title>
    <URL>https://fmino.gov.ng/fg-plots-new-roadmap-for-solid-minerals-development/</URL>
    <Year>2025</Year>
    <Author>
      <Author>
        <Corporate>Ministerio Federal de Información y Orientación Nacional</Corporate>
      </Author>
    </Author>
    <b:RefOrder xmlns:b="http://schemas.openxmlformats.org/officeDocument/2006/bibliography">9</b:RefOrder>
  </Source>
  <Source>
    <Tag>Dep22</Tag>
    <SourceType>InternetSite</SourceType>
    <Guid>{761AF9CD-771E-4853-88EA-813DD4EE2142}</Guid>
    <Author>
      <Author>
        <Corporate>Department for Business, Energy and Industrial Strategy</Corporate>
      </Author>
    </Author>
    <Title>Resilience for the Future: The United Kingdom’s Critical Minerals Strategy.</Title>
    <Year>2022</Year>
    <URL>https://www.gov.uk/government/publications/uk-critical-mineral-strategy/resilience-for-the-future</URL>
    <b:RefOrder xmlns:b="http://schemas.openxmlformats.org/officeDocument/2006/bibliography">31</b:RefOrder>
  </Source>
  <Source>
    <Tag>SFA</Tag>
    <SourceType>InternetSite</SourceType>
    <Guid>{1955F0C8-B0A4-A748-8F78-B0972380452F}</Guid>
    <Author>
      <Author>
        <Corporate>SFA Oxford</Corporate>
      </Author>
    </Author>
    <Title>La transición energética en Francia</Title>
    <URL>https://www.sfa-oxford.com/lithox/critical-minerals-policy-legislation/all-countries/europe/european-union/france/#:~:text=France%20is%20also%20actively%20securing,vehicles%20and%20energy%20storage%20systems</URL>
    <Year>2026</Year>
    <b:RefOrder xmlns:b="http://schemas.openxmlformats.org/officeDocument/2006/bibliography">22</b:RefOrder>
  </Source>
  <Source>
    <Tag>USD20</Tag>
    <SourceType>InternetSite</SourceType>
    <Guid>{480E0304-4027-4A0C-A8AB-D5863DA0E2C1}</Guid>
    <Author>
      <Author>
        <Corporate>U.S. Department of Energy</Corporate>
      </Author>
    </Author>
    <Title>Energy Act of 2020</Title>
    <Year>2020</Year>
    <b:RefOrder xmlns:b="http://schemas.openxmlformats.org/officeDocument/2006/bibliography">17</b:RefOrder>
  </Source>
  <Source>
    <Tag>Rei21</Tag>
    <SourceType>InternetSite</SourceType>
    <Guid>{0EF5AB2E-F742-3348-B2D6-6FBCFBB9A2B9}</Guid>
    <Title>Reino de Arabia Saudita</Title>
    <URL>https://www.vision2030.gov.sa/media/bsan2azp/2021-2025-national-industrial-development-and-logistics-program-delivery-plan-en.pdf?utm_source=chatgpt.com</URL>
    <Year>2021</Year>
    <Author>
      <Author>
        <Corporate>Reino de Arabia Saudita</Corporate>
      </Author>
    </Author>
    <b:RefOrder xmlns:b="http://schemas.openxmlformats.org/officeDocument/2006/bibliography">24</b:RefOrder>
  </Source>
  <Source>
    <Tag>Eur17</Tag>
    <SourceType>DocumentFromInternetSite</SourceType>
    <Guid>{6D0036A2-DE53-4643-9D6F-8EA0F163D992}</Guid>
    <Year>2017</Year>
    <Month>Septiembre</Month>
    <Day>13</Day>
    <URL>https://eur-lex.europa.eu/legal-content/EN/TXT/?uri=CELEX:52017DC0490#</URL>
    <Author>
      <Author>
        <Corporate>European Commission</Corporate>
      </Author>
    </Author>
    <YearAccessed>2026</YearAccessed>
    <ShortTitle>Communication from the commission to the European Parlament, The Council, The European Economic and Social Committee and the Committee of the Regions on the 2017 List of Critical Raw Materials for the EU</ShortTitle>
    <b:RefOrder xmlns:b="http://schemas.openxmlformats.org/officeDocument/2006/bibliography">27</b:RefOrder>
  </Source>
  <Source>
    <Tag>Tür25</Tag>
    <SourceType>InternetSite</SourceType>
    <Guid>{55E2D152-5715-3240-B561-9AD56884500E}</Guid>
    <Title>Türkiye Critical Minerals Initiative</Title>
    <Year>2025</Year>
    <URL>https://cmiturkiye.org/turkiye</URL>
    <Author>
      <Author>
        <Corporate>Türkiye Critical Minerals Initiative</Corporate>
      </Author>
    </Author>
    <b:RefOrder xmlns:b="http://schemas.openxmlformats.org/officeDocument/2006/bibliography">5</b:RefOrder>
  </Source>
  <Source>
    <Tag>Min</Tag>
    <SourceType>InternetSite</SourceType>
    <Guid>{4B114B40-8325-684F-982A-05449B364FFB}</Guid>
    <Title>Ministerio de recursos minerales y de petróleos</Title>
    <URL>https://www.gov.za/sites/default/files/gcis_document/202505/critical-minerals-and-metals-strategy-south-africa-2025.pdf</URL>
    <Year>2025</Year>
    <Author>
      <Author>
        <Corporate>Ministerio de recursos minerales y de petróleos</Corporate>
      </Author>
    </Author>
    <b:RefOrder xmlns:b="http://schemas.openxmlformats.org/officeDocument/2006/bibliography">3</b:RefOrder>
  </Source>
  <Source>
    <Tag>Gob25</Tag>
    <SourceType>InternetSite</SourceType>
    <Guid>{E147F7AD-A086-6441-AB76-F51C7045986C}</Guid>
    <Title>Gobierno Digital</Title>
    <URL>https://biblioteca.digital.gob.cl/items/3fafeb7f-b363-4bfe-a4de-9855d0c0b2ec</URL>
    <Year>2025</Year>
    <Author>
      <Author>
        <Corporate>Gobierno Digital</Corporate>
      </Author>
    </Author>
    <b:RefOrder xmlns:b="http://schemas.openxmlformats.org/officeDocument/2006/bibliography">1</b:RefOrder>
  </Source>
  <Source>
    <Tag>Bri24</Tag>
    <SourceType>InternetSite</SourceType>
    <Guid>{B7DCFA30-58B7-4A8E-A94D-0E0A957DFAF2}</Guid>
    <Author>
      <Author>
        <Corporate>British Geological Survey</Corporate>
      </Author>
    </Author>
    <Title>Descarbonisation and Resource Management Programme</Title>
    <Year>2024</Year>
    <URL>chrome-extension://efaidnbmnnnibpcajpcglclefindmkaj/https://nora.nerc.ac.uk/id/eprint/538471/1/OR24047_report.pdf</URL>
    <b:RefOrder xmlns:b="http://schemas.openxmlformats.org/officeDocument/2006/bibliography">14</b:RefOrder>
  </Source>
  <Source>
    <Tag>Eur20</Tag>
    <SourceType>DocumentFromInternetSite</SourceType>
    <Guid>{DE46212C-39F5-4E64-AF65-7DC358B02344}</Guid>
    <Year>2020</Year>
    <Month>09</Month>
    <Day>03</Day>
    <URL>https://eur-lex.europa.eu/legal-content/EN/TXT/?uri=CELEX:52020DC0474</URL>
    <Author>
      <Author>
        <Corporate>European Union</Corporate>
      </Author>
    </Author>
    <YearAccessed>2026</YearAccessed>
    <ShortTitle>Communication to the European Parlament, The Council, The European Economic and Social Committee and the Committee of the Regions. Critical Raw Materials Resilience: Charting a Path towards greater Security and Sustainability, 2020.</ShortTitle>
    <b:RefOrder xmlns:b="http://schemas.openxmlformats.org/officeDocument/2006/bibliography">13</b:RefOrder>
  </Source>
  <Source>
    <Tag>Con25</Tag>
    <SourceType>InternetSite</SourceType>
    <Guid>{EA2BFD74-FAD6-46E5-AAA7-D1A48700C1DE}</Guid>
    <Title>Consultation: Update of Canada's Critical Minerals list and methodology</Title>
    <Year>2025</Year>
    <Author>
      <Author>
        <Corporate>Natural Resources Canada</Corporate>
      </Author>
    </Author>
    <URL>https://natural-resources.canada.ca/minerals-mining/critical-minerals/consultation-update-canada-s-critical-minerals-list-methodology</URL>
    <b:RefOrder xmlns:b="http://schemas.openxmlformats.org/officeDocument/2006/bibliography">16</b:RefOrder>
  </Source>
  <Source>
    <Tag>Int25</Tag>
    <SourceType>InternetSite</SourceType>
    <Guid>{A680BBFB-3813-4239-A4FC-A936B42296A4}</Guid>
    <Author>
      <Author>
        <Corporate>International Energy Agency</Corporate>
      </Author>
    </Author>
    <Title>The strategy for securing reliable critical minerals supply</Title>
    <Year>2025</Year>
    <URL>https://www.iea.org/policies/17942-the-strategy-for-securing-reliable-critical-minerals-supply</URL>
    <b:RefOrder xmlns:b="http://schemas.openxmlformats.org/officeDocument/2006/bibliography">25</b:RefOrder>
  </Source>
  <Source>
    <Tag>Min23</Tag>
    <SourceType>InternetSite</SourceType>
    <Guid>{6844C7BD-8F8B-C941-845A-F2252914931D}</Guid>
    <Title>Ministerio de Energía y Recursos Minerales</Title>
    <URL>https://jdih.esdm.go.id/common/dokumen-external/Kepmen%20ESDM%20No%20296K_MB_01_MEM_B_2023.pdf</URL>
    <Year>2023</Year>
    <Author>
      <Author>
        <Corporate>Ministerio de Energía y Recursos Minerales</Corporate>
      </Author>
    </Author>
    <b:RefOrder xmlns:b="http://schemas.openxmlformats.org/officeDocument/2006/bibliography">4</b:RefOrder>
  </Source>
  <Source>
    <Tag>Com14</Tag>
    <SourceType>DocumentFromInternetSite</SourceType>
    <Guid>{BE97B013-FE39-419E-B919-F325F44ADCDD}</Guid>
    <Author>
      <Author>
        <Corporate>Comisión Europea</Corporate>
      </Author>
    </Author>
    <Title>Zona de prensa</Title>
    <Year>2014</Year>
    <Month>01</Month>
    <Day>22</Day>
    <URL>https://ec.europa.eu/commission/presscorner/detail/es/memo_14_37</URL>
    <b:RefOrder xmlns:b="http://schemas.openxmlformats.org/officeDocument/2006/bibliography">26</b:RefOrder>
  </Source>
  <Source>
    <Tag>Bra24</Tag>
    <SourceType>InternetSite</SourceType>
    <Guid>{71DA9EE3-D08D-426E-BD23-610F48BAE678}</Guid>
    <Author>
      <Author>
        <Corporate>Brasil. Presidência da República.</Corporate>
      </Author>
    </Author>
    <Title>Decreto nº 10.657. Institui a Política de Apoio ao Licenciamento Ambiental de Projetos de Investimento para a Produção de Minerais Estratégicos — Pró-Minerais Estratégicos. Diário Oficial da União.</Title>
    <Year>2024</Year>
    <URL>https://www.planalto.gov.br/ccivil_03/_ato2019-2022/2021/decreto/d10657.htm</URL>
    <b:RefOrder xmlns:b="http://schemas.openxmlformats.org/officeDocument/2006/bibliography">7</b:RefOrder>
  </Source>
  <Source>
    <Tag>DER25</Tag>
    <SourceType>DocumentFromInternetSite</SourceType>
    <Guid>{1DAC25DF-2165-4F1E-ACD5-8FE3D4A0BA93}</Guid>
    <Author>
      <Author>
        <Corporate>DERA</Corporate>
      </Author>
    </Author>
    <InternetSiteTitle>Raw material list</InternetSiteTitle>
    <Year>2025</Year>
    <URL>https://www.deutsche-rohstoffagentur.de/DERA/DE/Themen/Rohstoffmarktrisiken/Rohstoffliste/rohstoffliste_node.html</URL>
    <b:RefOrder xmlns:b="http://schemas.openxmlformats.org/officeDocument/2006/bibliography">21</b:RefOrder>
  </Source>
  <Source>
    <Tag>Dep25</Tag>
    <SourceType>InternetSite</SourceType>
    <Guid>{54DD6F4D-2716-4DB6-8CDD-3442A1B1F06D}</Guid>
    <Author>
      <Author>
        <Corporate>Department of Mineral Resources and Petroleum</Corporate>
      </Author>
    </Author>
    <Title>Critical Minerals and Metals Strategy South Africa.</Title>
    <Year>2025</Year>
    <b:RefOrder xmlns:b="http://schemas.openxmlformats.org/officeDocument/2006/bibliography">28</b:RefOrder>
  </Source>
  <Source>
    <Tag>CCM22</Tag>
    <SourceType>InternetSite</SourceType>
    <Guid>{E716DA45-33C6-4123-82B9-39115E10F398}</Guid>
    <Author>
      <Author>
        <Corporate>Natural Resources Canada</Corporate>
      </Author>
    </Author>
    <Year>2022</Year>
    <Title>The Canadian Critical Minerals Strategy. From Exploration to Recycling: Powering the Green and Digital Economy for Canada and the World</Title>
    <URL>https://www.canada.ca/en/campaign/critical-minerals-in-canada/canadian-critical-minerals-strategy.html</URL>
    <b:RefOrder xmlns:b="http://schemas.openxmlformats.org/officeDocument/2006/bibliography">15</b:RefOrder>
  </Source>
  <Source>
    <Tag>Rei16</Tag>
    <SourceType>InternetSite</SourceType>
    <Guid>{69F12C8A-E70C-F14F-9CF8-68805E7CA04C}</Guid>
    <Title>Reino de Arabia Saudita</Title>
    <URL>https://www.vision2030.gov.sa/media/rc0b5oy1/saudi_vision203.pdf</URL>
    <Year>2016</Year>
    <Author>
      <Author>
        <Corporate>Reino de Arabia Saudita</Corporate>
      </Author>
    </Author>
    <b:RefOrder xmlns:b="http://schemas.openxmlformats.org/officeDocument/2006/bibliography">23</b:RefOrder>
  </Source>
  <Source>
    <Tag>GobAU23</Tag>
    <SourceType>InternetSite</SourceType>
    <Guid>{187404ED-56AE-485D-9CE4-5BD748450B54}</Guid>
    <Author>
      <Author>
        <Corporate>Gobierno de Australia</Corporate>
      </Author>
    </Author>
    <Title>Estrategia para Minerales Críticos 2023-2030</Title>
    <Year>2023</Year>
    <b:RefOrder xmlns:b="http://schemas.openxmlformats.org/officeDocument/2006/bibliography">20</b:RefOrder>
  </Source>
  <Source>
    <Tag>Zap21</Tag>
    <SourceType>DocumentFromInternetSite</SourceType>
    <Guid>{D3D1C098-EEF6-44BE-B48B-5FB8C970F9C0}</Guid>
    <Title>Repositorio Segemar</Title>
    <InternetSiteTitle>SegemAR</InternetSiteTitle>
    <Year>2021</Year>
    <URL>https://repositorio.segemar.gov.ar/handle/308849217/4183</URL>
    <Author>
      <Author>
        <NameList>
          <Person>
            <Last>Zappettini</Last>
            <First>Eduardo</First>
          </Person>
        </NameList>
      </Author>
    </Author>
    <YearAccessed>2026</YearAccessed>
    <MonthAccessed>Marzo</MonthAccessed>
    <DayAccessed>3</DayAccessed>
    <b:RefOrder xmlns:b="http://schemas.openxmlformats.org/officeDocument/2006/bibliography">2</b:RefOrder>
  </Source>
  <Source>
    <Tag>InMin23</Tag>
    <SourceType>InternetSite</SourceType>
    <Guid>{5823FEB9-BC8A-C945-A8E6-0A9EED9569F6}</Guid>
    <Author>
      <Author>
        <Corporate>Ministerio de Minas de India</Corporate>
      </Author>
    </Author>
    <Title>Critical Minerals For India. Report of the Committee on identification of Critical Minerals. Ministry of Mines, Government of India</Title>
    <Year>2023</Year>
    <InternetSiteTitle>https://mines.gov.in/admin/download/649d4212cceb01688027666.pdf</InternetSiteTitle>
    <b:RefOrder xmlns:b="http://schemas.openxmlformats.org/officeDocument/2006/bibliography">6</b:RefOrder>
  </Source>
  <Source>
    <Tag>Int</Tag>
    <SourceType>Report</SourceType>
    <Guid>{DF7FD4FB-85A1-41C1-B196-FA956D32FAB5}</Guid>
    <Author>
      <Author>
        <Corporate>International Energy Agency </Corporate>
      </Author>
    </Author>
    <Title>National Plan for Mineral Resources (China)</Title>
    <b:RefOrder xmlns:b="http://schemas.openxmlformats.org/officeDocument/2006/bibliography">10</b:RefOrder>
  </Source>
  <Source>
    <Tag>Lus21</Tag>
    <SourceType>DocumentFromInternetSite</SourceType>
    <Guid>{F027E711-05D7-4F7F-971C-1A66FE8A6D5C}</Guid>
    <Title>UK criticality assessment of technology critical minerals and metals. British Geological Survey</Title>
    <Year>2021</Year>
    <Author>
      <Author>
        <Corporate>British Geological Survey</Corporate>
      </Author>
    </Author>
    <URL>chrome-extension://efaidnbmnnnibpcajpcglclefindmkaj/https://nora.nerc.ac.uk/id/eprint/535664/1/CR21120N.pdf</URL>
    <b:RefOrder xmlns:b="http://schemas.openxmlformats.org/officeDocument/2006/bibliography">32</b:RefOrder>
  </Source>
  <b:Source xmlns:b="http://schemas.openxmlformats.org/officeDocument/2006/bibliography">
    <b:Tag>Dep231</b:Tag>
    <b:SourceType>InternetSite</b:SourceType>
    <b:Guid>{470031E3-DD53-7B48-B59C-C64F4977B49B}</b:Guid>
    <b:Title>Departamento Nacional de Planeación</b:Title>
    <b:URL>https://colaboracion.dnp.gov.co/CDT/Conpes/Econ%C3%B3micos/4129.pdf</b:URL>
    <b:Year>2023</b:Year>
    <b:RefOrder>29</b:RefOrder>
  </b:Source>
  <b:Source xmlns:b="http://schemas.openxmlformats.org/officeDocument/2006/bibliography">
    <b:Tag>Har26</b:Tag>
    <b:SourceType>InternetSite</b:SourceType>
    <b:Guid>{B3ECC7B9-0BC5-7144-9CBF-75B541A83978}</b:Guid>
    <b:Title>Harvard´s Growth Lab</b:Title>
    <b:URL>https://atlas.hks.harvard.edu/?utm_source=%20&amp;utm_medium=%20&amp;utm_campaign=%20&amp;utm_id=GL%20Navigation</b:URL>
    <b:Year>2026</b:Year>
    <b:RefOrder>30</b:RefOrder>
  </b:Source>
</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9123fa-a0bd-4bd8-868e-9c476bc4c5ee">
      <Terms xmlns="http://schemas.microsoft.com/office/infopath/2007/PartnerControls"/>
    </lcf76f155ced4ddcb4097134ff3c332f>
    <UBICACI_x00d3_N_x0020_FUID xmlns="ee9123fa-a0bd-4bd8-868e-9c476bc4c5ee"/>
    <TaxCatchAll xmlns="9803b5ff-16e3-4935-814e-3e9e1f008f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119CF5127C07B429B003BD9C5404B91" ma:contentTypeVersion="22" ma:contentTypeDescription="Crear nuevo documento." ma:contentTypeScope="" ma:versionID="d86476e5f215e3f0acb64363e42f35e4">
  <xsd:schema xmlns:xsd="http://www.w3.org/2001/XMLSchema" xmlns:xs="http://www.w3.org/2001/XMLSchema" xmlns:p="http://schemas.microsoft.com/office/2006/metadata/properties" xmlns:ns2="ee9123fa-a0bd-4bd8-868e-9c476bc4c5ee" xmlns:ns3="9803b5ff-16e3-4935-814e-3e9e1f008f32" targetNamespace="http://schemas.microsoft.com/office/2006/metadata/properties" ma:root="true" ma:fieldsID="388f7fb5cc1dfb0527cb2c19164ed125" ns2:_="" ns3:_="">
    <xsd:import namespace="ee9123fa-a0bd-4bd8-868e-9c476bc4c5ee"/>
    <xsd:import namespace="9803b5ff-16e3-4935-814e-3e9e1f008f32"/>
    <xsd:element name="properties">
      <xsd:complexType>
        <xsd:sequence>
          <xsd:element name="documentManagement">
            <xsd:complexType>
              <xsd:all>
                <xsd:element ref="ns2:UBICACI_x00d3_N_x0020_FUID"/>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123fa-a0bd-4bd8-868e-9c476bc4c5ee" elementFormDefault="qualified">
    <xsd:import namespace="http://schemas.microsoft.com/office/2006/documentManagement/types"/>
    <xsd:import namespace="http://schemas.microsoft.com/office/infopath/2007/PartnerControls"/>
    <xsd:element name="UBICACI_x00d3_N_x0020_FUID" ma:index="2" ma:displayName="Ubicación FUID" ma:format="Dropdown" ma:internalName="UBICACI_x00d3_N_x0020_FUID"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74c45be-ea38-4724-9e42-a2e31b90b4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3b5ff-16e3-4935-814e-3e9e1f008f32" elementFormDefault="qualified">
    <xsd:import namespace="http://schemas.microsoft.com/office/2006/documentManagement/types"/>
    <xsd:import namespace="http://schemas.microsoft.com/office/infopath/2007/PartnerControls"/>
    <xsd:element name="SharedWithUsers" ma:index="17"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hidden="true" ma:internalName="SharedWithDetails" ma:readOnly="true">
      <xsd:simpleType>
        <xsd:restriction base="dms:Note"/>
      </xsd:simpleType>
    </xsd:element>
    <xsd:element name="TaxCatchAll" ma:index="24" nillable="true" ma:displayName="Columna global de taxonomía" ma:hidden="true" ma:list="{15e182de-384f-4e41-8e09-0fdd6eb55eef}" ma:internalName="TaxCatchAll" ma:readOnly="false" ma:showField="CatchAllData" ma:web="9803b5ff-16e3-4935-814e-3e9e1f008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FCAA7-734B-A546-9631-7395F0C95687}">
  <ds:schemaRefs>
    <ds:schemaRef ds:uri="http://schemas.openxmlformats.org/officeDocument/2006/bibliography"/>
  </ds:schemaRefs>
</ds:datastoreItem>
</file>

<file path=customXml/itemProps2.xml><?xml version="1.0" encoding="utf-8"?>
<ds:datastoreItem xmlns:ds="http://schemas.openxmlformats.org/officeDocument/2006/customXml" ds:itemID="{639E8B89-AE3F-4101-BE9A-045C43FED359}">
  <ds:schemaRefs>
    <ds:schemaRef ds:uri="http://schemas.microsoft.com/office/2006/metadata/properties"/>
    <ds:schemaRef ds:uri="http://schemas.microsoft.com/office/infopath/2007/PartnerControls"/>
    <ds:schemaRef ds:uri="ee9123fa-a0bd-4bd8-868e-9c476bc4c5ee"/>
    <ds:schemaRef ds:uri="9803b5ff-16e3-4935-814e-3e9e1f008f32"/>
  </ds:schemaRefs>
</ds:datastoreItem>
</file>

<file path=customXml/itemProps3.xml><?xml version="1.0" encoding="utf-8"?>
<ds:datastoreItem xmlns:ds="http://schemas.openxmlformats.org/officeDocument/2006/customXml" ds:itemID="{2085B9F6-2592-46DF-B202-8BFB87A8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123fa-a0bd-4bd8-868e-9c476bc4c5ee"/>
    <ds:schemaRef ds:uri="9803b5ff-16e3-4935-814e-3e9e1f008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C86EA-FF8B-43B6-A971-F3C1E1C0B9E7}">
  <ds:schemaRefs>
    <ds:schemaRef ds:uri="http://schemas.microsoft.com/sharepoint/v3/contenttype/forms"/>
  </ds:schemaRefs>
</ds:datastoreItem>
</file>

<file path=docMetadata/LabelInfo.xml><?xml version="1.0" encoding="utf-8"?>
<clbl:labelList xmlns:clbl="http://schemas.microsoft.com/office/2020/mipLabelMetadata">
  <clbl:label id="{9cb8cdce-76f3-4733-b872-7f7ece033f1c}" enabled="1" method="Privileged" siteId="{7d321262-f092-4e84-bb7c-97bc5421bd2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40</Pages>
  <Words>14046</Words>
  <Characters>77254</Characters>
  <Application>Microsoft Office Word</Application>
  <DocSecurity>0</DocSecurity>
  <Lines>643</Lines>
  <Paragraphs>182</Paragraphs>
  <ScaleCrop>false</ScaleCrop>
  <Company/>
  <LinksUpToDate>false</LinksUpToDate>
  <CharactersWithSpaces>91118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ANM</dc:creator>
  <cp:keywords/>
  <dc:description/>
  <cp:lastModifiedBy>Fabio Andres Aleman Machado</cp:lastModifiedBy>
  <cp:revision>27</cp:revision>
  <cp:lastPrinted>2026-05-16T04:32:00Z</cp:lastPrinted>
  <dcterms:created xsi:type="dcterms:W3CDTF">2026-05-25T06:13:00Z</dcterms:created>
  <dcterms:modified xsi:type="dcterms:W3CDTF">2026-06-03T22:58:00Z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0x010100C119CF5127C07B429B003BD9C5404B91</vt:lpwstr>
  </property>
  <property fmtid="{D5CDD505-2E9C-101B-9397-08002B2CF9AE}" pid="3" name="ClassificationContentMarkingFooterShapeIds">
    <vt:lpwstr>10d3117f,19ed835b,7d947563</vt:lpwstr>
  </property>
  <property fmtid="{D5CDD505-2E9C-101B-9397-08002B2CF9AE}" pid="4" name="ClassificationContentMarkingFooterFontProps">
    <vt:lpwstr>#000000,10,Aptos</vt:lpwstr>
  </property>
  <property fmtid="{D5CDD505-2E9C-101B-9397-08002B2CF9AE}" pid="5" name="ClassificationContentMarkingFooterText">
    <vt:lpwstr>Informacion publica</vt:lpwstr>
  </property>
  <property fmtid="{D5CDD505-2E9C-101B-9397-08002B2CF9AE}" pid="6" name="MediaServiceImageTags">
    <vt:lpwstr/>
  </property>
</Properties>
</file>