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472EF" w14:textId="77777777" w:rsidR="00900692" w:rsidRPr="004865F6" w:rsidRDefault="00900692" w:rsidP="004865F6">
      <w:pPr>
        <w:jc w:val="center"/>
        <w:rPr>
          <w:rFonts w:ascii="Arial Narrow" w:hAnsi="Arial Narrow"/>
          <w:b/>
          <w:bCs/>
          <w:sz w:val="20"/>
          <w:szCs w:val="20"/>
        </w:rPr>
      </w:pPr>
    </w:p>
    <w:p w14:paraId="25D472F0" w14:textId="77777777" w:rsidR="00900692" w:rsidRPr="004865F6" w:rsidRDefault="00361057" w:rsidP="004865F6">
      <w:pPr>
        <w:pStyle w:val="Cuadrculamedia1-nfasis21"/>
        <w:numPr>
          <w:ilvl w:val="0"/>
          <w:numId w:val="1"/>
        </w:numPr>
        <w:tabs>
          <w:tab w:val="left" w:pos="426"/>
        </w:tabs>
        <w:spacing w:after="0" w:line="240" w:lineRule="auto"/>
        <w:ind w:left="426" w:right="49" w:hanging="426"/>
        <w:jc w:val="both"/>
        <w:rPr>
          <w:rFonts w:ascii="Arial Narrow" w:hAnsi="Arial Narrow"/>
          <w:sz w:val="20"/>
          <w:szCs w:val="20"/>
          <w:u w:val="single"/>
        </w:rPr>
      </w:pPr>
      <w:r w:rsidRPr="004865F6">
        <w:rPr>
          <w:rFonts w:ascii="Arial Narrow" w:hAnsi="Arial Narrow" w:cs="Calibri"/>
          <w:b/>
          <w:sz w:val="20"/>
          <w:szCs w:val="20"/>
          <w:u w:val="single"/>
          <w:lang w:val="es-MX"/>
        </w:rPr>
        <w:t xml:space="preserve">Título de la Iniciativa. </w:t>
      </w:r>
    </w:p>
    <w:p w14:paraId="25D472F1" w14:textId="77777777" w:rsidR="00900692" w:rsidRPr="004865F6" w:rsidRDefault="00900692" w:rsidP="004865F6">
      <w:pPr>
        <w:pStyle w:val="Cuadrculamedia1-nfasis21"/>
        <w:tabs>
          <w:tab w:val="left" w:pos="426"/>
        </w:tabs>
        <w:spacing w:after="0" w:line="240" w:lineRule="auto"/>
        <w:ind w:left="0" w:right="49"/>
        <w:jc w:val="both"/>
        <w:rPr>
          <w:rFonts w:ascii="Arial Narrow" w:hAnsi="Arial Narrow" w:cs="Calibri"/>
          <w:b/>
          <w:i/>
          <w:sz w:val="20"/>
          <w:szCs w:val="20"/>
        </w:rPr>
      </w:pPr>
    </w:p>
    <w:p w14:paraId="25D472F2" w14:textId="447945A4" w:rsidR="00900692" w:rsidRPr="004865F6" w:rsidRDefault="00361057" w:rsidP="004865F6">
      <w:pPr>
        <w:pStyle w:val="CUERPOTEXTO"/>
        <w:suppressAutoHyphens/>
        <w:spacing w:before="0" w:after="0" w:line="240" w:lineRule="auto"/>
        <w:ind w:left="426" w:right="49" w:firstLine="0"/>
        <w:rPr>
          <w:rFonts w:ascii="Arial Narrow" w:hAnsi="Arial Narrow"/>
          <w:sz w:val="20"/>
          <w:szCs w:val="20"/>
        </w:rPr>
      </w:pPr>
      <w:r w:rsidRPr="004865F6">
        <w:rPr>
          <w:rFonts w:ascii="Arial Narrow" w:eastAsia="Calibri" w:hAnsi="Arial Narrow" w:cs="Calibri"/>
          <w:i/>
          <w:color w:val="auto"/>
          <w:sz w:val="20"/>
          <w:szCs w:val="20"/>
          <w:lang w:val="es-CO" w:eastAsia="en-US"/>
        </w:rPr>
        <w:t xml:space="preserve"> “</w:t>
      </w:r>
      <w:r w:rsidR="00CF1F2F" w:rsidRPr="00CF1F2F">
        <w:rPr>
          <w:rFonts w:ascii="Arial Narrow" w:eastAsia="Calibri" w:hAnsi="Arial Narrow" w:cs="Calibri"/>
          <w:i/>
          <w:color w:val="auto"/>
          <w:sz w:val="20"/>
          <w:szCs w:val="20"/>
          <w:lang w:val="es-CO" w:eastAsia="en-US"/>
        </w:rPr>
        <w:t>Por medio de la cual se adopta el procedimiento de relacionamiento con el territorio para otorgamiento de títulos mineros</w:t>
      </w:r>
      <w:r w:rsidRPr="004865F6">
        <w:rPr>
          <w:rFonts w:ascii="Arial Narrow" w:eastAsia="Calibri" w:hAnsi="Arial Narrow" w:cs="Calibri"/>
          <w:i/>
          <w:color w:val="auto"/>
          <w:sz w:val="20"/>
          <w:szCs w:val="20"/>
          <w:lang w:val="es-CO" w:eastAsia="en-US"/>
        </w:rPr>
        <w:t>”.</w:t>
      </w:r>
    </w:p>
    <w:p w14:paraId="25D472F3" w14:textId="77777777" w:rsidR="00900692" w:rsidRPr="004865F6" w:rsidRDefault="00900692" w:rsidP="004865F6">
      <w:pPr>
        <w:pStyle w:val="CUERPOTEXTO"/>
        <w:suppressAutoHyphens/>
        <w:spacing w:before="0" w:after="0" w:line="240" w:lineRule="auto"/>
        <w:ind w:left="426" w:right="49" w:firstLine="0"/>
        <w:rPr>
          <w:rFonts w:ascii="Arial Narrow" w:hAnsi="Arial Narrow" w:cs="Calibri"/>
          <w:b/>
          <w:color w:val="auto"/>
          <w:sz w:val="20"/>
          <w:szCs w:val="20"/>
          <w:lang w:val="es-CO"/>
        </w:rPr>
      </w:pPr>
    </w:p>
    <w:p w14:paraId="25D472F4" w14:textId="77777777" w:rsidR="00900692" w:rsidRPr="004865F6" w:rsidRDefault="00361057" w:rsidP="004865F6">
      <w:pPr>
        <w:pStyle w:val="Cuadrculamedia1-nfasis21"/>
        <w:numPr>
          <w:ilvl w:val="0"/>
          <w:numId w:val="1"/>
        </w:numPr>
        <w:tabs>
          <w:tab w:val="left" w:pos="426"/>
        </w:tabs>
        <w:spacing w:after="0" w:line="240" w:lineRule="auto"/>
        <w:ind w:left="426" w:right="49" w:hanging="426"/>
        <w:rPr>
          <w:rFonts w:ascii="Arial Narrow" w:hAnsi="Arial Narrow" w:cs="Calibri"/>
          <w:b/>
          <w:sz w:val="20"/>
          <w:szCs w:val="20"/>
          <w:u w:val="single"/>
          <w:lang w:val="es-MX"/>
        </w:rPr>
      </w:pPr>
      <w:r w:rsidRPr="004865F6">
        <w:rPr>
          <w:rFonts w:ascii="Arial Narrow" w:hAnsi="Arial Narrow" w:cs="Calibri"/>
          <w:b/>
          <w:sz w:val="20"/>
          <w:szCs w:val="20"/>
          <w:u w:val="single"/>
          <w:lang w:val="es-MX"/>
        </w:rPr>
        <w:t>Tipo de Norma.</w:t>
      </w:r>
    </w:p>
    <w:p w14:paraId="25D472F5" w14:textId="77777777" w:rsidR="00900692" w:rsidRPr="004865F6" w:rsidRDefault="00900692" w:rsidP="004865F6">
      <w:pPr>
        <w:ind w:right="49"/>
        <w:rPr>
          <w:rFonts w:ascii="Arial Narrow" w:hAnsi="Arial Narrow" w:cs="Calibri"/>
          <w:sz w:val="20"/>
          <w:szCs w:val="20"/>
          <w:lang w:val="es-MX"/>
        </w:rPr>
      </w:pPr>
    </w:p>
    <w:p w14:paraId="25D472F6" w14:textId="77777777" w:rsidR="00900692" w:rsidRPr="004865F6" w:rsidRDefault="00361057" w:rsidP="004865F6">
      <w:pPr>
        <w:ind w:right="49" w:firstLine="426"/>
        <w:rPr>
          <w:rFonts w:ascii="Arial Narrow" w:hAnsi="Arial Narrow"/>
          <w:sz w:val="20"/>
          <w:szCs w:val="20"/>
        </w:rPr>
      </w:pPr>
      <w:r w:rsidRPr="004865F6">
        <w:rPr>
          <w:rFonts w:ascii="Arial Narrow" w:hAnsi="Arial Narrow" w:cs="Calibri"/>
          <w:sz w:val="20"/>
          <w:szCs w:val="20"/>
          <w:lang w:val="es-MX"/>
        </w:rPr>
        <w:t>Resolución.</w:t>
      </w:r>
    </w:p>
    <w:p w14:paraId="25D472F7" w14:textId="77777777" w:rsidR="00900692" w:rsidRPr="004865F6" w:rsidRDefault="00900692" w:rsidP="004865F6">
      <w:pPr>
        <w:ind w:right="49"/>
        <w:rPr>
          <w:rFonts w:ascii="Arial Narrow" w:hAnsi="Arial Narrow" w:cs="Calibri"/>
          <w:b/>
          <w:sz w:val="20"/>
          <w:szCs w:val="20"/>
          <w:lang w:val="es-MX"/>
        </w:rPr>
      </w:pPr>
    </w:p>
    <w:p w14:paraId="25D472F8" w14:textId="77777777" w:rsidR="00900692" w:rsidRPr="004865F6" w:rsidRDefault="00361057" w:rsidP="004865F6">
      <w:pPr>
        <w:pStyle w:val="Cuadrculamedia1-nfasis21"/>
        <w:numPr>
          <w:ilvl w:val="0"/>
          <w:numId w:val="1"/>
        </w:numPr>
        <w:tabs>
          <w:tab w:val="left" w:pos="426"/>
        </w:tabs>
        <w:spacing w:after="0" w:line="240" w:lineRule="auto"/>
        <w:ind w:left="426" w:right="49" w:hanging="426"/>
        <w:rPr>
          <w:rFonts w:ascii="Arial Narrow" w:hAnsi="Arial Narrow" w:cs="Calibri"/>
          <w:b/>
          <w:sz w:val="20"/>
          <w:szCs w:val="20"/>
          <w:u w:val="single"/>
          <w:lang w:val="es-MX"/>
        </w:rPr>
      </w:pPr>
      <w:r w:rsidRPr="004865F6">
        <w:rPr>
          <w:rFonts w:ascii="Arial Narrow" w:hAnsi="Arial Narrow" w:cs="Calibri"/>
          <w:b/>
          <w:sz w:val="20"/>
          <w:szCs w:val="20"/>
          <w:u w:val="single"/>
          <w:lang w:val="es-MX"/>
        </w:rPr>
        <w:t xml:space="preserve">Avalado por.  </w:t>
      </w:r>
    </w:p>
    <w:p w14:paraId="25D472F9" w14:textId="77777777" w:rsidR="00900692" w:rsidRPr="004865F6" w:rsidRDefault="00900692" w:rsidP="004865F6">
      <w:pPr>
        <w:pStyle w:val="Cuadrculamedia1-nfasis21"/>
        <w:tabs>
          <w:tab w:val="left" w:pos="426"/>
        </w:tabs>
        <w:spacing w:after="0" w:line="240" w:lineRule="auto"/>
        <w:ind w:left="426" w:right="49"/>
        <w:rPr>
          <w:rFonts w:ascii="Arial Narrow" w:hAnsi="Arial Narrow" w:cs="Calibri"/>
          <w:b/>
          <w:sz w:val="20"/>
          <w:szCs w:val="20"/>
          <w:lang w:val="es-MX"/>
        </w:rPr>
      </w:pPr>
    </w:p>
    <w:p w14:paraId="25D472FA" w14:textId="6E506514" w:rsidR="00900692" w:rsidRPr="004865F6" w:rsidRDefault="00361057" w:rsidP="004865F6">
      <w:pPr>
        <w:numPr>
          <w:ilvl w:val="1"/>
          <w:numId w:val="1"/>
        </w:numPr>
        <w:ind w:left="426" w:right="49" w:firstLine="8"/>
        <w:rPr>
          <w:rFonts w:ascii="Arial Narrow" w:hAnsi="Arial Narrow"/>
          <w:sz w:val="20"/>
          <w:szCs w:val="20"/>
        </w:rPr>
      </w:pPr>
      <w:r w:rsidRPr="004865F6">
        <w:rPr>
          <w:rFonts w:ascii="Arial Narrow" w:hAnsi="Arial Narrow" w:cs="Calibri"/>
          <w:sz w:val="20"/>
          <w:szCs w:val="20"/>
          <w:lang w:val="es-MX"/>
        </w:rPr>
        <w:t>Vicepresidencia de Contratación y Titulación.</w:t>
      </w:r>
    </w:p>
    <w:p w14:paraId="25D472FB" w14:textId="77777777" w:rsidR="00900692" w:rsidRPr="004865F6" w:rsidRDefault="00361057" w:rsidP="004865F6">
      <w:pPr>
        <w:numPr>
          <w:ilvl w:val="1"/>
          <w:numId w:val="1"/>
        </w:numPr>
        <w:ind w:left="426" w:right="49" w:firstLine="8"/>
        <w:rPr>
          <w:rFonts w:ascii="Arial Narrow" w:hAnsi="Arial Narrow"/>
          <w:sz w:val="20"/>
          <w:szCs w:val="20"/>
        </w:rPr>
      </w:pPr>
      <w:r w:rsidRPr="004865F6">
        <w:rPr>
          <w:rFonts w:ascii="Arial Narrow" w:hAnsi="Arial Narrow" w:cs="Calibri"/>
          <w:sz w:val="20"/>
          <w:szCs w:val="20"/>
          <w:lang w:val="es-MX"/>
        </w:rPr>
        <w:t>Gerencia de Contratación Minera.</w:t>
      </w:r>
    </w:p>
    <w:p w14:paraId="25D472FC" w14:textId="77777777" w:rsidR="00900692" w:rsidRPr="004865F6" w:rsidRDefault="00361057" w:rsidP="004865F6">
      <w:pPr>
        <w:numPr>
          <w:ilvl w:val="1"/>
          <w:numId w:val="1"/>
        </w:numPr>
        <w:ind w:left="426" w:right="49" w:firstLine="8"/>
        <w:rPr>
          <w:rFonts w:ascii="Arial Narrow" w:hAnsi="Arial Narrow"/>
          <w:sz w:val="20"/>
          <w:szCs w:val="20"/>
        </w:rPr>
      </w:pPr>
      <w:r w:rsidRPr="004865F6">
        <w:rPr>
          <w:rFonts w:ascii="Arial Narrow" w:hAnsi="Arial Narrow" w:cs="Calibri"/>
          <w:sz w:val="20"/>
          <w:szCs w:val="20"/>
          <w:lang w:val="es-MX"/>
        </w:rPr>
        <w:t>Oficina Asesora Jurídica</w:t>
      </w:r>
    </w:p>
    <w:p w14:paraId="25D472FD" w14:textId="77777777" w:rsidR="00900692" w:rsidRPr="004865F6" w:rsidRDefault="00900692" w:rsidP="004865F6">
      <w:pPr>
        <w:ind w:right="49"/>
        <w:rPr>
          <w:rFonts w:ascii="Arial Narrow" w:hAnsi="Arial Narrow" w:cs="Calibri"/>
          <w:b/>
          <w:sz w:val="20"/>
          <w:szCs w:val="20"/>
          <w:lang w:val="es-MX"/>
        </w:rPr>
      </w:pPr>
    </w:p>
    <w:p w14:paraId="25D472FE"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lang w:val="es-MX"/>
        </w:rPr>
      </w:pPr>
      <w:r w:rsidRPr="004865F6">
        <w:rPr>
          <w:rFonts w:ascii="Arial Narrow" w:hAnsi="Arial Narrow" w:cs="Calibri"/>
          <w:b/>
          <w:sz w:val="20"/>
          <w:szCs w:val="20"/>
          <w:u w:val="single"/>
          <w:lang w:val="es-MX"/>
        </w:rPr>
        <w:t>Origen de la Iniciativa</w:t>
      </w:r>
      <w:r w:rsidRPr="004865F6">
        <w:rPr>
          <w:rFonts w:ascii="Arial Narrow" w:hAnsi="Arial Narrow" w:cs="Calibri"/>
          <w:b/>
          <w:sz w:val="20"/>
          <w:szCs w:val="20"/>
          <w:lang w:val="es-MX"/>
        </w:rPr>
        <w:t>.</w:t>
      </w:r>
    </w:p>
    <w:p w14:paraId="25D472FF" w14:textId="77777777" w:rsidR="00900692" w:rsidRPr="004865F6" w:rsidRDefault="00900692" w:rsidP="004865F6">
      <w:pPr>
        <w:pStyle w:val="Cuadrculamedia1-nfasis21"/>
        <w:spacing w:after="0" w:line="240" w:lineRule="auto"/>
        <w:ind w:left="426" w:right="49"/>
        <w:rPr>
          <w:rFonts w:ascii="Arial Narrow" w:hAnsi="Arial Narrow" w:cs="Calibri"/>
          <w:b/>
          <w:sz w:val="20"/>
          <w:szCs w:val="20"/>
          <w:lang w:val="es-MX"/>
        </w:rPr>
      </w:pPr>
    </w:p>
    <w:p w14:paraId="25D47300" w14:textId="0853C691" w:rsidR="00900692" w:rsidRPr="004865F6" w:rsidRDefault="00361057" w:rsidP="004865F6">
      <w:pPr>
        <w:ind w:right="49"/>
        <w:jc w:val="both"/>
        <w:rPr>
          <w:rFonts w:ascii="Arial Narrow" w:hAnsi="Arial Narrow"/>
          <w:sz w:val="20"/>
          <w:szCs w:val="20"/>
        </w:rPr>
      </w:pPr>
      <w:r w:rsidRPr="004865F6">
        <w:rPr>
          <w:rFonts w:ascii="Arial Narrow" w:hAnsi="Arial Narrow" w:cs="Calibri"/>
          <w:sz w:val="20"/>
          <w:szCs w:val="20"/>
          <w:lang w:val="es-ES"/>
        </w:rPr>
        <w:t xml:space="preserve">La iniciativa tiene origen en la </w:t>
      </w:r>
      <w:r w:rsidRPr="004865F6">
        <w:rPr>
          <w:rFonts w:ascii="Arial Narrow" w:hAnsi="Arial Narrow" w:cs="Calibri"/>
          <w:sz w:val="20"/>
          <w:szCs w:val="20"/>
        </w:rPr>
        <w:t xml:space="preserve">Vicepresidencia de </w:t>
      </w:r>
      <w:r w:rsidRPr="004865F6">
        <w:rPr>
          <w:rFonts w:ascii="Arial Narrow" w:hAnsi="Arial Narrow" w:cs="Calibri"/>
          <w:sz w:val="20"/>
          <w:szCs w:val="20"/>
          <w:lang w:val="es-MX"/>
        </w:rPr>
        <w:t>Contratación y Titulación Minera,</w:t>
      </w:r>
      <w:r w:rsidRPr="004865F6">
        <w:rPr>
          <w:rFonts w:ascii="Arial Narrow" w:hAnsi="Arial Narrow"/>
          <w:sz w:val="20"/>
          <w:szCs w:val="20"/>
          <w:lang w:val="es-MX"/>
        </w:rPr>
        <w:t xml:space="preserve"> </w:t>
      </w:r>
      <w:r w:rsidRPr="004865F6">
        <w:rPr>
          <w:rFonts w:ascii="Arial Narrow" w:hAnsi="Arial Narrow" w:cs="Calibri"/>
          <w:sz w:val="20"/>
          <w:szCs w:val="20"/>
          <w:lang w:val="es-MX"/>
        </w:rPr>
        <w:t xml:space="preserve">particularmente en </w:t>
      </w:r>
      <w:r w:rsidR="00CF1F2F">
        <w:rPr>
          <w:rFonts w:ascii="Arial Narrow" w:hAnsi="Arial Narrow" w:cs="Calibri"/>
          <w:sz w:val="20"/>
          <w:szCs w:val="20"/>
          <w:lang w:val="es-MX"/>
        </w:rPr>
        <w:t xml:space="preserve">la </w:t>
      </w:r>
      <w:r w:rsidRPr="004865F6">
        <w:rPr>
          <w:rFonts w:ascii="Arial Narrow" w:hAnsi="Arial Narrow" w:cs="Calibri"/>
          <w:sz w:val="20"/>
          <w:szCs w:val="20"/>
          <w:lang w:val="es-ES"/>
        </w:rPr>
        <w:t>Gerencia de Contratación Minera, en cumplimiento</w:t>
      </w:r>
      <w:r w:rsidR="00CF1F2F">
        <w:rPr>
          <w:rFonts w:ascii="Arial Narrow" w:hAnsi="Arial Narrow" w:cs="Calibri"/>
          <w:sz w:val="20"/>
          <w:szCs w:val="20"/>
          <w:lang w:val="es-ES"/>
        </w:rPr>
        <w:t xml:space="preserve"> </w:t>
      </w:r>
      <w:r w:rsidR="00620DC2">
        <w:rPr>
          <w:rFonts w:ascii="Arial Narrow" w:hAnsi="Arial Narrow" w:cs="Calibri"/>
          <w:sz w:val="20"/>
          <w:szCs w:val="20"/>
          <w:lang w:val="es-ES"/>
        </w:rPr>
        <w:t xml:space="preserve">de lo dispuesto </w:t>
      </w:r>
      <w:r w:rsidR="00AD011F">
        <w:rPr>
          <w:rFonts w:ascii="Arial Narrow" w:hAnsi="Arial Narrow" w:cs="Calibri"/>
          <w:sz w:val="20"/>
          <w:szCs w:val="20"/>
          <w:lang w:val="es-ES"/>
        </w:rPr>
        <w:t xml:space="preserve">en el artículo 259 de la Ley 685 de 2001 y </w:t>
      </w:r>
      <w:r w:rsidR="00620DC2">
        <w:rPr>
          <w:rFonts w:ascii="Arial Narrow" w:hAnsi="Arial Narrow" w:cs="Calibri"/>
          <w:sz w:val="20"/>
          <w:szCs w:val="20"/>
          <w:lang w:val="es-ES"/>
        </w:rPr>
        <w:t xml:space="preserve">en la </w:t>
      </w:r>
      <w:r w:rsidR="00620DC2" w:rsidRPr="00620DC2">
        <w:rPr>
          <w:rFonts w:ascii="Arial Narrow" w:hAnsi="Arial Narrow" w:cs="Calibri"/>
          <w:bCs/>
          <w:sz w:val="20"/>
          <w:szCs w:val="20"/>
          <w:lang w:eastAsia="es-CO"/>
        </w:rPr>
        <w:t>Sentencia de Unificación No. SU-095 de 2018</w:t>
      </w:r>
      <w:r w:rsidR="00620DC2">
        <w:rPr>
          <w:rFonts w:ascii="Arial Narrow" w:hAnsi="Arial Narrow" w:cs="Calibri"/>
          <w:bCs/>
          <w:sz w:val="20"/>
          <w:szCs w:val="20"/>
          <w:lang w:eastAsia="es-CO"/>
        </w:rPr>
        <w:t xml:space="preserve">, </w:t>
      </w:r>
      <w:r w:rsidR="00620DC2" w:rsidRPr="00620DC2">
        <w:rPr>
          <w:rFonts w:ascii="Arial Narrow" w:hAnsi="Arial Narrow" w:cs="Calibri"/>
          <w:bCs/>
          <w:sz w:val="20"/>
          <w:szCs w:val="20"/>
          <w:lang w:eastAsia="es-CO"/>
        </w:rPr>
        <w:t xml:space="preserve">en la que </w:t>
      </w:r>
      <w:r w:rsidR="00B406BE">
        <w:rPr>
          <w:rFonts w:ascii="Arial Narrow" w:hAnsi="Arial Narrow" w:cs="Calibri"/>
          <w:bCs/>
          <w:sz w:val="20"/>
          <w:szCs w:val="20"/>
          <w:lang w:eastAsia="es-CO"/>
        </w:rPr>
        <w:t xml:space="preserve">se </w:t>
      </w:r>
      <w:r w:rsidR="00620DC2" w:rsidRPr="00620DC2">
        <w:rPr>
          <w:rFonts w:ascii="Arial Narrow" w:hAnsi="Arial Narrow" w:cs="Calibri"/>
          <w:bCs/>
          <w:sz w:val="20"/>
          <w:szCs w:val="20"/>
          <w:lang w:eastAsia="es-CO"/>
        </w:rPr>
        <w:t>ordena a la Entidad “</w:t>
      </w:r>
      <w:r w:rsidR="00620DC2" w:rsidRPr="00620DC2">
        <w:rPr>
          <w:rFonts w:ascii="Arial Narrow" w:hAnsi="Arial Narrow" w:cs="Calibri"/>
          <w:bCs/>
          <w:i/>
          <w:iCs/>
          <w:sz w:val="20"/>
          <w:szCs w:val="20"/>
          <w:lang w:eastAsia="es-CO"/>
        </w:rPr>
        <w:t>mantengan y fortalezcan</w:t>
      </w:r>
      <w:r w:rsidR="00620DC2" w:rsidRPr="00620DC2">
        <w:rPr>
          <w:rFonts w:ascii="Arial Narrow" w:hAnsi="Arial Narrow" w:cs="Calibri"/>
          <w:bCs/>
          <w:sz w:val="20"/>
          <w:szCs w:val="20"/>
          <w:lang w:eastAsia="es-CO"/>
        </w:rPr>
        <w:t xml:space="preserve">” los mecanismos de participación de los entes territoriales y de la comunidad en el otorgamiento de </w:t>
      </w:r>
      <w:r w:rsidR="00CF1F2F">
        <w:rPr>
          <w:rFonts w:ascii="Arial Narrow" w:hAnsi="Arial Narrow" w:cs="Calibri"/>
          <w:sz w:val="20"/>
          <w:szCs w:val="20"/>
          <w:lang w:val="es-ES"/>
        </w:rPr>
        <w:t>Títulos Mineros</w:t>
      </w:r>
      <w:r w:rsidRPr="004865F6">
        <w:rPr>
          <w:rFonts w:ascii="Arial Narrow" w:hAnsi="Arial Narrow" w:cs="Calibri"/>
          <w:sz w:val="20"/>
          <w:szCs w:val="20"/>
          <w:lang w:val="es-ES"/>
        </w:rPr>
        <w:t>.</w:t>
      </w:r>
    </w:p>
    <w:p w14:paraId="25D47301" w14:textId="77777777" w:rsidR="00900692" w:rsidRPr="004865F6" w:rsidRDefault="00900692" w:rsidP="004865F6">
      <w:pPr>
        <w:ind w:right="49"/>
        <w:jc w:val="both"/>
        <w:rPr>
          <w:rFonts w:ascii="Arial Narrow" w:hAnsi="Arial Narrow"/>
          <w:sz w:val="20"/>
          <w:szCs w:val="20"/>
        </w:rPr>
      </w:pPr>
    </w:p>
    <w:p w14:paraId="25D47302"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u w:val="single"/>
          <w:lang w:val="es-MX"/>
        </w:rPr>
      </w:pPr>
      <w:r w:rsidRPr="004865F6">
        <w:rPr>
          <w:rFonts w:ascii="Arial Narrow" w:hAnsi="Arial Narrow" w:cs="Calibri"/>
          <w:b/>
          <w:sz w:val="20"/>
          <w:szCs w:val="20"/>
          <w:u w:val="single"/>
          <w:lang w:val="es-MX"/>
        </w:rPr>
        <w:t>Política(s) que Instrumenta.</w:t>
      </w:r>
    </w:p>
    <w:p w14:paraId="25D47303" w14:textId="77777777" w:rsidR="00900692" w:rsidRPr="004865F6" w:rsidRDefault="00900692" w:rsidP="004865F6">
      <w:pPr>
        <w:pStyle w:val="Cuadrculamedia1-nfasis21"/>
        <w:spacing w:after="0" w:line="240" w:lineRule="auto"/>
        <w:ind w:left="0" w:right="49"/>
        <w:rPr>
          <w:rFonts w:ascii="Arial Narrow" w:hAnsi="Arial Narrow" w:cs="Calibri"/>
          <w:sz w:val="20"/>
          <w:szCs w:val="20"/>
          <w:u w:val="single"/>
          <w:lang w:eastAsia="es-CO"/>
        </w:rPr>
      </w:pPr>
    </w:p>
    <w:p w14:paraId="1F9FCB3A" w14:textId="794EFC8A" w:rsidR="00620DC2" w:rsidRDefault="00AA463C" w:rsidP="00AD011F">
      <w:pPr>
        <w:ind w:right="49"/>
        <w:jc w:val="both"/>
        <w:rPr>
          <w:rFonts w:ascii="Arial Narrow" w:hAnsi="Arial Narrow" w:cs="Calibri"/>
          <w:bCs/>
          <w:sz w:val="20"/>
          <w:szCs w:val="20"/>
          <w:lang w:eastAsia="es-CO"/>
        </w:rPr>
      </w:pPr>
      <w:r w:rsidRPr="00AA463C">
        <w:rPr>
          <w:rFonts w:ascii="Arial Narrow" w:hAnsi="Arial Narrow" w:cs="Calibri"/>
          <w:bCs/>
          <w:sz w:val="20"/>
          <w:szCs w:val="20"/>
          <w:lang w:eastAsia="es-CO"/>
        </w:rPr>
        <w:t>Acto administrativo de carácter general, por medio del cual se adopta el procedimiento de relacionamiento con el territorio para otorgamiento de títulos mineros</w:t>
      </w:r>
      <w:r w:rsidR="0027371D">
        <w:rPr>
          <w:rFonts w:ascii="Arial Narrow" w:hAnsi="Arial Narrow" w:cs="Calibri"/>
          <w:bCs/>
          <w:sz w:val="20"/>
          <w:szCs w:val="20"/>
          <w:lang w:eastAsia="es-CO"/>
        </w:rPr>
        <w:t xml:space="preserve">, en el que se resaltan </w:t>
      </w:r>
      <w:r w:rsidR="0027371D" w:rsidRPr="0027371D">
        <w:rPr>
          <w:rFonts w:ascii="Arial Narrow" w:hAnsi="Arial Narrow" w:cs="Calibri"/>
          <w:bCs/>
          <w:sz w:val="20"/>
          <w:szCs w:val="20"/>
          <w:lang w:eastAsia="es-CO"/>
        </w:rPr>
        <w:t>mecanismos de participación ciudadana e instrumentos de coordinación y concurrencia</w:t>
      </w:r>
      <w:r w:rsidR="00C50C7E">
        <w:rPr>
          <w:rFonts w:ascii="Arial Narrow" w:hAnsi="Arial Narrow" w:cs="Calibri"/>
          <w:bCs/>
          <w:sz w:val="20"/>
          <w:szCs w:val="20"/>
          <w:lang w:eastAsia="es-CO"/>
        </w:rPr>
        <w:t xml:space="preserve"> consagrados en la Constitución Política de Colombia</w:t>
      </w:r>
      <w:r w:rsidR="00AD011F">
        <w:rPr>
          <w:rFonts w:ascii="Arial Narrow" w:hAnsi="Arial Narrow" w:cs="Calibri"/>
          <w:bCs/>
          <w:sz w:val="20"/>
          <w:szCs w:val="20"/>
          <w:lang w:eastAsia="es-CO"/>
        </w:rPr>
        <w:t xml:space="preserve">, según lo dispone el </w:t>
      </w:r>
      <w:r w:rsidR="00AD011F" w:rsidRPr="00AD011F">
        <w:rPr>
          <w:rFonts w:ascii="Arial Narrow" w:hAnsi="Arial Narrow" w:cs="Calibri"/>
          <w:bCs/>
          <w:sz w:val="20"/>
          <w:szCs w:val="20"/>
          <w:lang w:eastAsia="es-CO"/>
        </w:rPr>
        <w:t>Articulo 259</w:t>
      </w:r>
      <w:r w:rsidR="00AD011F">
        <w:rPr>
          <w:rFonts w:ascii="Arial Narrow" w:hAnsi="Arial Narrow" w:cs="Calibri"/>
          <w:bCs/>
          <w:sz w:val="20"/>
          <w:szCs w:val="20"/>
          <w:lang w:eastAsia="es-CO"/>
        </w:rPr>
        <w:t xml:space="preserve"> de la Ley 685 de 2001 que cita </w:t>
      </w:r>
      <w:r w:rsidR="00AD011F">
        <w:rPr>
          <w:rFonts w:ascii="Arial Narrow" w:hAnsi="Arial Narrow" w:cs="Calibri"/>
          <w:bCs/>
          <w:i/>
          <w:iCs/>
          <w:sz w:val="20"/>
          <w:szCs w:val="20"/>
          <w:lang w:eastAsia="es-CO"/>
        </w:rPr>
        <w:t>“</w:t>
      </w:r>
      <w:r w:rsidR="00AD011F" w:rsidRPr="00AD011F">
        <w:rPr>
          <w:rFonts w:ascii="Arial Narrow" w:hAnsi="Arial Narrow" w:cs="Calibri"/>
          <w:bCs/>
          <w:i/>
          <w:iCs/>
          <w:sz w:val="20"/>
          <w:szCs w:val="20"/>
          <w:lang w:eastAsia="es-CO"/>
        </w:rPr>
        <w:t>Audiencia y participación de terceros. En los casos en que dentro del procedimiento que antecede al contrato de concesion deba oírse previamente a terceros, a representes de la comunidad y a grupos o estamentos sociales, se buscara que estos reciban real y efectivamente, por los medios apropiados, el llamamiento o comunicación de comparecencia dentro de los términos señalados en la ley</w:t>
      </w:r>
      <w:r w:rsidR="00AD011F">
        <w:rPr>
          <w:rFonts w:ascii="Arial Narrow" w:hAnsi="Arial Narrow" w:cs="Calibri"/>
          <w:bCs/>
          <w:sz w:val="20"/>
          <w:szCs w:val="20"/>
          <w:lang w:eastAsia="es-CO"/>
        </w:rPr>
        <w:t>”</w:t>
      </w:r>
      <w:r w:rsidR="00AD011F" w:rsidRPr="00AD011F">
        <w:rPr>
          <w:rFonts w:ascii="Arial Narrow" w:hAnsi="Arial Narrow" w:cs="Calibri"/>
          <w:bCs/>
          <w:sz w:val="20"/>
          <w:szCs w:val="20"/>
          <w:lang w:eastAsia="es-CO"/>
        </w:rPr>
        <w:t>.</w:t>
      </w:r>
    </w:p>
    <w:p w14:paraId="612E625E" w14:textId="77777777" w:rsidR="00620DC2" w:rsidRDefault="00620DC2" w:rsidP="00620DC2">
      <w:pPr>
        <w:ind w:right="49"/>
        <w:jc w:val="both"/>
        <w:rPr>
          <w:rFonts w:ascii="Arial Narrow" w:hAnsi="Arial Narrow" w:cs="Calibri"/>
          <w:bCs/>
          <w:sz w:val="20"/>
          <w:szCs w:val="20"/>
          <w:lang w:eastAsia="es-CO"/>
        </w:rPr>
      </w:pPr>
    </w:p>
    <w:p w14:paraId="25D4730E"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lang w:val="es-MX"/>
        </w:rPr>
      </w:pPr>
      <w:r w:rsidRPr="004865F6">
        <w:rPr>
          <w:rFonts w:ascii="Arial Narrow" w:hAnsi="Arial Narrow" w:cs="Calibri"/>
          <w:b/>
          <w:sz w:val="20"/>
          <w:szCs w:val="20"/>
          <w:u w:val="single"/>
          <w:lang w:val="es-MX"/>
        </w:rPr>
        <w:t>Otras dependencias que participan</w:t>
      </w:r>
      <w:r w:rsidRPr="004865F6">
        <w:rPr>
          <w:rFonts w:ascii="Arial Narrow" w:hAnsi="Arial Narrow" w:cs="Calibri"/>
          <w:b/>
          <w:sz w:val="20"/>
          <w:szCs w:val="20"/>
          <w:lang w:val="es-MX"/>
        </w:rPr>
        <w:t>.</w:t>
      </w:r>
    </w:p>
    <w:p w14:paraId="25D4730F" w14:textId="77777777" w:rsidR="00900692" w:rsidRPr="004865F6" w:rsidRDefault="00900692" w:rsidP="004865F6">
      <w:pPr>
        <w:ind w:right="49"/>
        <w:rPr>
          <w:rFonts w:ascii="Arial Narrow" w:hAnsi="Arial Narrow" w:cs="Calibri"/>
          <w:sz w:val="20"/>
          <w:szCs w:val="20"/>
          <w:lang w:val="es-MX"/>
        </w:rPr>
      </w:pPr>
    </w:p>
    <w:p w14:paraId="25D47310" w14:textId="3FD0607D" w:rsidR="00900692" w:rsidRPr="004865F6" w:rsidRDefault="00C50C7E" w:rsidP="004865F6">
      <w:pPr>
        <w:ind w:right="49"/>
        <w:rPr>
          <w:rFonts w:ascii="Arial Narrow" w:hAnsi="Arial Narrow" w:cs="Calibri"/>
          <w:sz w:val="20"/>
          <w:szCs w:val="20"/>
          <w:lang w:val="es-MX"/>
        </w:rPr>
      </w:pPr>
      <w:r>
        <w:rPr>
          <w:rFonts w:ascii="Arial Narrow" w:hAnsi="Arial Narrow" w:cs="Calibri"/>
          <w:sz w:val="20"/>
          <w:szCs w:val="20"/>
          <w:lang w:val="es-MX"/>
        </w:rPr>
        <w:t>Vicepresidencia de Promoción y Fomento</w:t>
      </w:r>
      <w:r w:rsidR="00361057" w:rsidRPr="004865F6">
        <w:rPr>
          <w:rFonts w:ascii="Arial Narrow" w:hAnsi="Arial Narrow" w:cs="Calibri"/>
          <w:sz w:val="20"/>
          <w:szCs w:val="20"/>
          <w:lang w:val="es-MX"/>
        </w:rPr>
        <w:t>.</w:t>
      </w:r>
    </w:p>
    <w:p w14:paraId="25D47311" w14:textId="77777777" w:rsidR="00900692" w:rsidRPr="004865F6" w:rsidRDefault="00900692" w:rsidP="004865F6">
      <w:pPr>
        <w:ind w:right="49" w:firstLine="426"/>
        <w:rPr>
          <w:rFonts w:ascii="Arial Narrow" w:hAnsi="Arial Narrow" w:cs="Calibri"/>
          <w:sz w:val="20"/>
          <w:szCs w:val="20"/>
          <w:lang w:val="es-MX"/>
        </w:rPr>
      </w:pPr>
    </w:p>
    <w:p w14:paraId="25D47312"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u w:val="single"/>
          <w:lang w:val="es-MX"/>
        </w:rPr>
      </w:pPr>
      <w:r w:rsidRPr="004865F6">
        <w:rPr>
          <w:rFonts w:ascii="Arial Narrow" w:hAnsi="Arial Narrow" w:cs="Calibri"/>
          <w:b/>
          <w:sz w:val="20"/>
          <w:szCs w:val="20"/>
          <w:u w:val="single"/>
          <w:lang w:val="es-MX"/>
        </w:rPr>
        <w:t>Actores externos identificados.</w:t>
      </w:r>
    </w:p>
    <w:p w14:paraId="25D47313" w14:textId="77777777" w:rsidR="00900692" w:rsidRPr="004865F6" w:rsidRDefault="00900692" w:rsidP="004865F6">
      <w:pPr>
        <w:pStyle w:val="Cuadrculamedia1-nfasis21"/>
        <w:spacing w:after="0" w:line="240" w:lineRule="auto"/>
        <w:ind w:left="426" w:right="49"/>
        <w:rPr>
          <w:rFonts w:ascii="Arial Narrow" w:hAnsi="Arial Narrow" w:cs="Calibri"/>
          <w:b/>
          <w:sz w:val="20"/>
          <w:szCs w:val="20"/>
          <w:lang w:val="es-MX"/>
        </w:rPr>
      </w:pPr>
    </w:p>
    <w:p w14:paraId="25D47314" w14:textId="77777777" w:rsidR="00900692" w:rsidRPr="004865F6" w:rsidRDefault="00361057" w:rsidP="004865F6">
      <w:pPr>
        <w:ind w:left="66" w:right="49"/>
        <w:jc w:val="both"/>
        <w:rPr>
          <w:rFonts w:ascii="Arial Narrow" w:hAnsi="Arial Narrow" w:cs="Calibri"/>
          <w:sz w:val="20"/>
          <w:szCs w:val="20"/>
          <w:lang w:val="es-MX"/>
        </w:rPr>
      </w:pPr>
      <w:r w:rsidRPr="004865F6">
        <w:rPr>
          <w:rFonts w:ascii="Arial Narrow" w:hAnsi="Arial Narrow" w:cs="Calibri"/>
          <w:sz w:val="20"/>
          <w:szCs w:val="20"/>
          <w:lang w:val="es-MX"/>
        </w:rPr>
        <w:t>Los actores externos identificados son los siguientes:</w:t>
      </w:r>
    </w:p>
    <w:p w14:paraId="25D47315" w14:textId="77777777" w:rsidR="00900692" w:rsidRPr="004865F6" w:rsidRDefault="00900692" w:rsidP="004865F6">
      <w:pPr>
        <w:ind w:left="66" w:right="49"/>
        <w:jc w:val="both"/>
        <w:rPr>
          <w:rFonts w:ascii="Arial Narrow" w:hAnsi="Arial Narrow" w:cs="Calibri"/>
          <w:sz w:val="20"/>
          <w:szCs w:val="20"/>
          <w:lang w:val="es-MX"/>
        </w:rPr>
      </w:pPr>
    </w:p>
    <w:p w14:paraId="25D47316" w14:textId="77777777" w:rsidR="00900692" w:rsidRPr="004865F6" w:rsidRDefault="00361057" w:rsidP="004865F6">
      <w:pPr>
        <w:pStyle w:val="Cuadrculamedia1-nfasis21"/>
        <w:numPr>
          <w:ilvl w:val="0"/>
          <w:numId w:val="3"/>
        </w:numPr>
        <w:spacing w:after="0" w:line="240" w:lineRule="auto"/>
        <w:ind w:right="49"/>
        <w:jc w:val="both"/>
        <w:rPr>
          <w:rFonts w:ascii="Arial Narrow" w:hAnsi="Arial Narrow" w:cs="Calibri"/>
          <w:sz w:val="20"/>
          <w:szCs w:val="20"/>
          <w:lang w:val="es-MX"/>
        </w:rPr>
      </w:pPr>
      <w:r w:rsidRPr="004865F6">
        <w:rPr>
          <w:rFonts w:ascii="Arial Narrow" w:hAnsi="Arial Narrow" w:cs="Calibri"/>
          <w:sz w:val="20"/>
          <w:szCs w:val="20"/>
          <w:lang w:val="es-MX"/>
        </w:rPr>
        <w:t>Proponentes de Contratos de Concesión que presenten solicitudes a partir de la expedición del respectivo Acto Administrativo.</w:t>
      </w:r>
    </w:p>
    <w:p w14:paraId="25D4731A" w14:textId="77777777" w:rsidR="00900692" w:rsidRPr="004865F6" w:rsidRDefault="00900692" w:rsidP="004865F6">
      <w:pPr>
        <w:pStyle w:val="Cuadrculamedia1-nfasis21"/>
        <w:spacing w:after="0" w:line="240" w:lineRule="auto"/>
        <w:ind w:left="66" w:right="49"/>
        <w:jc w:val="both"/>
        <w:rPr>
          <w:rFonts w:ascii="Arial Narrow" w:hAnsi="Arial Narrow" w:cs="Calibri"/>
          <w:sz w:val="20"/>
          <w:szCs w:val="20"/>
        </w:rPr>
      </w:pPr>
    </w:p>
    <w:p w14:paraId="25D4731B"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u w:val="single"/>
          <w:lang w:val="es-MX"/>
        </w:rPr>
      </w:pPr>
      <w:r w:rsidRPr="004865F6">
        <w:rPr>
          <w:rFonts w:ascii="Arial Narrow" w:hAnsi="Arial Narrow" w:cs="Calibri"/>
          <w:b/>
          <w:sz w:val="20"/>
          <w:szCs w:val="20"/>
          <w:u w:val="single"/>
          <w:lang w:val="es-MX"/>
        </w:rPr>
        <w:t>Antecedentes, razones de oportunidad y conveniencia que justifican su expedición.</w:t>
      </w:r>
    </w:p>
    <w:p w14:paraId="25D4731C" w14:textId="77777777" w:rsidR="00900692" w:rsidRPr="004865F6" w:rsidRDefault="00900692" w:rsidP="004865F6">
      <w:pPr>
        <w:pStyle w:val="Cuadrculamedia1-nfasis21"/>
        <w:spacing w:after="0" w:line="240" w:lineRule="auto"/>
        <w:ind w:right="49"/>
        <w:jc w:val="both"/>
        <w:rPr>
          <w:rFonts w:ascii="Arial Narrow" w:hAnsi="Arial Narrow" w:cs="Calibri"/>
          <w:sz w:val="20"/>
          <w:szCs w:val="20"/>
          <w:lang w:val="es-MX"/>
        </w:rPr>
      </w:pPr>
    </w:p>
    <w:p w14:paraId="25D4731E" w14:textId="7E486ECB" w:rsidR="00900692" w:rsidRPr="004865F6" w:rsidRDefault="00484713" w:rsidP="004865F6">
      <w:pPr>
        <w:ind w:right="49"/>
        <w:jc w:val="both"/>
        <w:rPr>
          <w:rFonts w:ascii="Arial Narrow" w:hAnsi="Arial Narrow" w:cs="Calibri"/>
          <w:sz w:val="20"/>
          <w:szCs w:val="20"/>
          <w:lang w:eastAsia="es-CO"/>
        </w:rPr>
      </w:pPr>
      <w:r>
        <w:rPr>
          <w:rFonts w:ascii="Arial Narrow" w:hAnsi="Arial Narrow" w:cs="Calibri"/>
          <w:sz w:val="20"/>
          <w:szCs w:val="20"/>
          <w:lang w:eastAsia="es-CO"/>
        </w:rPr>
        <w:t xml:space="preserve"> </w:t>
      </w:r>
    </w:p>
    <w:p w14:paraId="3FEEABDA" w14:textId="63DEA795" w:rsidR="00C50C7E" w:rsidRPr="00C50C7E" w:rsidRDefault="00C50C7E" w:rsidP="00C50C7E">
      <w:pPr>
        <w:ind w:right="49"/>
        <w:jc w:val="both"/>
        <w:rPr>
          <w:rFonts w:ascii="Arial Narrow" w:hAnsi="Arial Narrow" w:cs="Calibri"/>
          <w:bCs/>
          <w:sz w:val="20"/>
          <w:szCs w:val="20"/>
          <w:lang w:eastAsia="es-CO"/>
        </w:rPr>
      </w:pPr>
      <w:r>
        <w:rPr>
          <w:rFonts w:ascii="Arial Narrow" w:hAnsi="Arial Narrow" w:cs="Calibri"/>
          <w:bCs/>
          <w:sz w:val="20"/>
          <w:szCs w:val="20"/>
          <w:lang w:eastAsia="es-CO"/>
        </w:rPr>
        <w:lastRenderedPageBreak/>
        <w:t>E</w:t>
      </w:r>
      <w:r w:rsidRPr="00C50C7E">
        <w:rPr>
          <w:rFonts w:ascii="Arial Narrow" w:hAnsi="Arial Narrow" w:cs="Calibri"/>
          <w:bCs/>
          <w:sz w:val="20"/>
          <w:szCs w:val="20"/>
          <w:lang w:eastAsia="es-CO"/>
        </w:rPr>
        <w:t>l artículo 209 de la Constitución Política, la función administrativa está al servicio de los intereses generales y se desarrolla con fundamento en los principios de igualdad, moralidad, eficiencia, economía, celeridad, imparcialidad y publicidad, mediante la descentralización, la delegación y la desconcentración de funciones.</w:t>
      </w:r>
    </w:p>
    <w:p w14:paraId="42439E91" w14:textId="77777777" w:rsidR="00C50C7E" w:rsidRPr="00C50C7E" w:rsidRDefault="00C50C7E" w:rsidP="00C50C7E">
      <w:pPr>
        <w:ind w:right="49"/>
        <w:jc w:val="both"/>
        <w:rPr>
          <w:rFonts w:ascii="Arial Narrow" w:hAnsi="Arial Narrow" w:cs="Calibri"/>
          <w:bCs/>
          <w:sz w:val="20"/>
          <w:szCs w:val="20"/>
          <w:lang w:eastAsia="es-CO"/>
        </w:rPr>
      </w:pPr>
    </w:p>
    <w:p w14:paraId="3726E862" w14:textId="44B5FEAC" w:rsidR="00C50C7E" w:rsidRPr="00C50C7E" w:rsidRDefault="00C50C7E" w:rsidP="00C50C7E">
      <w:pPr>
        <w:ind w:right="49"/>
        <w:jc w:val="both"/>
        <w:rPr>
          <w:rFonts w:ascii="Arial Narrow" w:hAnsi="Arial Narrow" w:cs="Calibri"/>
          <w:bCs/>
          <w:sz w:val="20"/>
          <w:szCs w:val="20"/>
          <w:lang w:eastAsia="es-CO"/>
        </w:rPr>
      </w:pPr>
      <w:r>
        <w:rPr>
          <w:rFonts w:ascii="Arial Narrow" w:hAnsi="Arial Narrow" w:cs="Calibri"/>
          <w:bCs/>
          <w:sz w:val="20"/>
          <w:szCs w:val="20"/>
          <w:lang w:eastAsia="es-CO"/>
        </w:rPr>
        <w:t>I</w:t>
      </w:r>
      <w:r w:rsidRPr="00C50C7E">
        <w:rPr>
          <w:rFonts w:ascii="Arial Narrow" w:hAnsi="Arial Narrow" w:cs="Calibri"/>
          <w:bCs/>
          <w:sz w:val="20"/>
          <w:szCs w:val="20"/>
          <w:lang w:eastAsia="es-CO"/>
        </w:rPr>
        <w:t>gualmente el artículo 288 de la Constitución Política prevé que las competencias atribuidas a los distintos niveles territoriales serán ejercidas conforme a los principios de coordinación, concurrencia y subsidiariedad en los términos que establezca la ley.</w:t>
      </w:r>
    </w:p>
    <w:p w14:paraId="6AADCAEB" w14:textId="77777777" w:rsidR="00C50C7E" w:rsidRPr="00C50C7E" w:rsidRDefault="00C50C7E" w:rsidP="00C50C7E">
      <w:pPr>
        <w:ind w:right="49"/>
        <w:jc w:val="both"/>
        <w:rPr>
          <w:rFonts w:ascii="Arial Narrow" w:hAnsi="Arial Narrow" w:cs="Calibri"/>
          <w:bCs/>
          <w:sz w:val="20"/>
          <w:szCs w:val="20"/>
          <w:lang w:eastAsia="es-CO"/>
        </w:rPr>
      </w:pPr>
    </w:p>
    <w:p w14:paraId="372319C2" w14:textId="4F36E090" w:rsidR="00C50C7E" w:rsidRPr="00C50C7E" w:rsidRDefault="00C50C7E" w:rsidP="00C50C7E">
      <w:pPr>
        <w:ind w:right="49"/>
        <w:jc w:val="both"/>
        <w:rPr>
          <w:rFonts w:ascii="Arial Narrow" w:hAnsi="Arial Narrow" w:cs="Calibri"/>
          <w:bCs/>
          <w:sz w:val="20"/>
          <w:szCs w:val="20"/>
          <w:lang w:eastAsia="es-CO"/>
        </w:rPr>
      </w:pPr>
      <w:r>
        <w:rPr>
          <w:rFonts w:ascii="Arial Narrow" w:hAnsi="Arial Narrow" w:cs="Calibri"/>
          <w:bCs/>
          <w:sz w:val="20"/>
          <w:szCs w:val="20"/>
          <w:lang w:eastAsia="es-CO"/>
        </w:rPr>
        <w:t>M</w:t>
      </w:r>
      <w:r w:rsidRPr="00C50C7E">
        <w:rPr>
          <w:rFonts w:ascii="Arial Narrow" w:hAnsi="Arial Narrow" w:cs="Calibri"/>
          <w:bCs/>
          <w:sz w:val="20"/>
          <w:szCs w:val="20"/>
          <w:lang w:eastAsia="es-CO"/>
        </w:rPr>
        <w:t>ediante Sentencia C-123 de 2014, la Honorable Corte Constitucional declaró exequible el artículo 37 de la Ley 685 de 2001 concerniente a la prohibición legal para las autoridades de las entidades territoriales de establecer temporal o definitivamente zonas excluidas de la minería. En tal sentido, el alto tribunal autorizó la realización de actividades de exploración y explotación minera, siempre que se acuerde con las autoridades territoriales, las medidas necesarias para la protección del ambiente sano, y en especial, de sus cuencas hídricas, el desarrollo económico, social, cultural de sus comunidades y la salubridad de la población.</w:t>
      </w:r>
    </w:p>
    <w:p w14:paraId="589FFED7" w14:textId="77777777" w:rsidR="00C50C7E" w:rsidRPr="00C50C7E" w:rsidRDefault="00C50C7E" w:rsidP="00C50C7E">
      <w:pPr>
        <w:ind w:right="49"/>
        <w:jc w:val="both"/>
        <w:rPr>
          <w:rFonts w:ascii="Arial Narrow" w:hAnsi="Arial Narrow" w:cs="Calibri"/>
          <w:bCs/>
          <w:sz w:val="20"/>
          <w:szCs w:val="20"/>
          <w:lang w:eastAsia="es-CO"/>
        </w:rPr>
      </w:pPr>
    </w:p>
    <w:p w14:paraId="0D00765E" w14:textId="4EAC4248" w:rsidR="00C50C7E" w:rsidRPr="00C50C7E" w:rsidRDefault="00C50C7E" w:rsidP="00C50C7E">
      <w:pPr>
        <w:ind w:right="49"/>
        <w:jc w:val="both"/>
        <w:rPr>
          <w:rFonts w:ascii="Arial Narrow" w:hAnsi="Arial Narrow" w:cs="Calibri"/>
          <w:bCs/>
          <w:sz w:val="20"/>
          <w:szCs w:val="20"/>
          <w:lang w:eastAsia="es-CO"/>
        </w:rPr>
      </w:pPr>
      <w:r>
        <w:rPr>
          <w:rFonts w:ascii="Arial Narrow" w:hAnsi="Arial Narrow" w:cs="Calibri"/>
          <w:bCs/>
          <w:sz w:val="20"/>
          <w:szCs w:val="20"/>
          <w:lang w:eastAsia="es-CO"/>
        </w:rPr>
        <w:t xml:space="preserve">A través de </w:t>
      </w:r>
      <w:r w:rsidRPr="00C50C7E">
        <w:rPr>
          <w:rFonts w:ascii="Arial Narrow" w:hAnsi="Arial Narrow" w:cs="Calibri"/>
          <w:bCs/>
          <w:sz w:val="20"/>
          <w:szCs w:val="20"/>
          <w:lang w:eastAsia="es-CO"/>
        </w:rPr>
        <w:t>Sentencia C-389 de 2016</w:t>
      </w:r>
      <w:r>
        <w:rPr>
          <w:rFonts w:ascii="Arial Narrow" w:hAnsi="Arial Narrow" w:cs="Calibri"/>
          <w:bCs/>
          <w:sz w:val="20"/>
          <w:szCs w:val="20"/>
          <w:lang w:eastAsia="es-CO"/>
        </w:rPr>
        <w:t xml:space="preserve"> proferida por la Corte Constitucional</w:t>
      </w:r>
      <w:r w:rsidRPr="00C50C7E">
        <w:rPr>
          <w:rFonts w:ascii="Arial Narrow" w:hAnsi="Arial Narrow" w:cs="Calibri"/>
          <w:bCs/>
          <w:sz w:val="20"/>
          <w:szCs w:val="20"/>
          <w:lang w:eastAsia="es-CO"/>
        </w:rPr>
        <w:t xml:space="preserve">, en el numeral segundo de su parte resolutiva, </w:t>
      </w:r>
      <w:r w:rsidR="00E41B73">
        <w:rPr>
          <w:rFonts w:ascii="Arial Narrow" w:hAnsi="Arial Narrow" w:cs="Calibri"/>
          <w:bCs/>
          <w:sz w:val="20"/>
          <w:szCs w:val="20"/>
          <w:lang w:eastAsia="es-CO"/>
        </w:rPr>
        <w:t xml:space="preserve">se </w:t>
      </w:r>
      <w:r w:rsidRPr="00C50C7E">
        <w:rPr>
          <w:rFonts w:ascii="Arial Narrow" w:hAnsi="Arial Narrow" w:cs="Calibri"/>
          <w:bCs/>
          <w:sz w:val="20"/>
          <w:szCs w:val="20"/>
          <w:lang w:eastAsia="es-CO"/>
        </w:rPr>
        <w:t>declar</w:t>
      </w:r>
      <w:r w:rsidR="00E41B73">
        <w:rPr>
          <w:rFonts w:ascii="Arial Narrow" w:hAnsi="Arial Narrow" w:cs="Calibri"/>
          <w:bCs/>
          <w:sz w:val="20"/>
          <w:szCs w:val="20"/>
          <w:lang w:eastAsia="es-CO"/>
        </w:rPr>
        <w:t>aron</w:t>
      </w:r>
      <w:r w:rsidRPr="00C50C7E">
        <w:rPr>
          <w:rFonts w:ascii="Arial Narrow" w:hAnsi="Arial Narrow" w:cs="Calibri"/>
          <w:bCs/>
          <w:sz w:val="20"/>
          <w:szCs w:val="20"/>
          <w:lang w:eastAsia="es-CO"/>
        </w:rPr>
        <w:t xml:space="preserve"> exequibles los artículos 16, 53, 270 y 271 de la Ley 685 de 2001, condiciona</w:t>
      </w:r>
      <w:r w:rsidR="00496C3F">
        <w:rPr>
          <w:rFonts w:ascii="Arial Narrow" w:hAnsi="Arial Narrow" w:cs="Calibri"/>
          <w:bCs/>
          <w:sz w:val="20"/>
          <w:szCs w:val="20"/>
          <w:lang w:eastAsia="es-CO"/>
        </w:rPr>
        <w:t>n</w:t>
      </w:r>
      <w:r w:rsidRPr="00C50C7E">
        <w:rPr>
          <w:rFonts w:ascii="Arial Narrow" w:hAnsi="Arial Narrow" w:cs="Calibri"/>
          <w:bCs/>
          <w:sz w:val="20"/>
          <w:szCs w:val="20"/>
          <w:lang w:eastAsia="es-CO"/>
        </w:rPr>
        <w:t>d</w:t>
      </w:r>
      <w:r w:rsidR="00496C3F">
        <w:rPr>
          <w:rFonts w:ascii="Arial Narrow" w:hAnsi="Arial Narrow" w:cs="Calibri"/>
          <w:bCs/>
          <w:sz w:val="20"/>
          <w:szCs w:val="20"/>
          <w:lang w:eastAsia="es-CO"/>
        </w:rPr>
        <w:t>o</w:t>
      </w:r>
      <w:r w:rsidRPr="00C50C7E">
        <w:rPr>
          <w:rFonts w:ascii="Arial Narrow" w:hAnsi="Arial Narrow" w:cs="Calibri"/>
          <w:bCs/>
          <w:sz w:val="20"/>
          <w:szCs w:val="20"/>
          <w:lang w:eastAsia="es-CO"/>
        </w:rPr>
        <w:t xml:space="preserve"> su constitucionalidad a la verificación de mínimos de idoneidad laboral y ambiental, así como adelantar un procedimiento que asegure la participación ciudadana, sin perjuicio de la participación especial de los grupos étnicamente diferenciados, señalando la obligación dentro del trámite de titulación minera de involucrar las audiencias de participación ciudadana.</w:t>
      </w:r>
    </w:p>
    <w:p w14:paraId="65C9BC14" w14:textId="77777777" w:rsidR="00C50C7E" w:rsidRPr="00C50C7E" w:rsidRDefault="00C50C7E" w:rsidP="00C50C7E">
      <w:pPr>
        <w:ind w:right="49"/>
        <w:jc w:val="both"/>
        <w:rPr>
          <w:rFonts w:ascii="Arial Narrow" w:hAnsi="Arial Narrow" w:cs="Calibri"/>
          <w:bCs/>
          <w:sz w:val="20"/>
          <w:szCs w:val="20"/>
          <w:lang w:eastAsia="es-CO"/>
        </w:rPr>
      </w:pPr>
    </w:p>
    <w:p w14:paraId="0741337F" w14:textId="683975B3" w:rsidR="00C50C7E" w:rsidRPr="00C50C7E" w:rsidRDefault="00C50C7E" w:rsidP="00C50C7E">
      <w:pPr>
        <w:ind w:right="49"/>
        <w:jc w:val="both"/>
        <w:rPr>
          <w:rFonts w:ascii="Arial Narrow" w:hAnsi="Arial Narrow" w:cs="Calibri"/>
          <w:bCs/>
          <w:sz w:val="20"/>
          <w:szCs w:val="20"/>
          <w:lang w:eastAsia="es-CO"/>
        </w:rPr>
      </w:pPr>
      <w:r>
        <w:rPr>
          <w:rFonts w:ascii="Arial Narrow" w:hAnsi="Arial Narrow" w:cs="Calibri"/>
          <w:bCs/>
          <w:sz w:val="20"/>
          <w:szCs w:val="20"/>
          <w:lang w:eastAsia="es-CO"/>
        </w:rPr>
        <w:t>E</w:t>
      </w:r>
      <w:r w:rsidRPr="00C50C7E">
        <w:rPr>
          <w:rFonts w:ascii="Arial Narrow" w:hAnsi="Arial Narrow" w:cs="Calibri"/>
          <w:bCs/>
          <w:sz w:val="20"/>
          <w:szCs w:val="20"/>
          <w:lang w:eastAsia="es-CO"/>
        </w:rPr>
        <w:t>n consecuencia de lo anterior, la Agencia Nacional de Minería diseñó e implementó un Programa de Relacionamiento en Territorio dentro del proceso de contratación minera, con el objetivo principal de lograr una relación eficaz, oportuna y permanente con los actores estratégicos involucrados o no en el desarrollo de proyectos mineros, previo al otorgamiento de un proyecto minero.</w:t>
      </w:r>
    </w:p>
    <w:p w14:paraId="6B6135A6" w14:textId="77777777" w:rsidR="00C50C7E" w:rsidRPr="00C50C7E" w:rsidRDefault="00C50C7E" w:rsidP="00C50C7E">
      <w:pPr>
        <w:ind w:right="49"/>
        <w:jc w:val="both"/>
        <w:rPr>
          <w:rFonts w:ascii="Arial Narrow" w:hAnsi="Arial Narrow" w:cs="Calibri"/>
          <w:bCs/>
          <w:sz w:val="20"/>
          <w:szCs w:val="20"/>
          <w:lang w:eastAsia="es-CO"/>
        </w:rPr>
      </w:pPr>
    </w:p>
    <w:p w14:paraId="0B540915" w14:textId="40C27F4B" w:rsidR="00C50C7E" w:rsidRPr="00C50C7E" w:rsidRDefault="00C50C7E" w:rsidP="00C50C7E">
      <w:pPr>
        <w:ind w:right="49"/>
        <w:jc w:val="both"/>
        <w:rPr>
          <w:rFonts w:ascii="Arial Narrow" w:hAnsi="Arial Narrow" w:cs="Calibri"/>
          <w:bCs/>
          <w:sz w:val="20"/>
          <w:szCs w:val="20"/>
          <w:lang w:eastAsia="es-CO"/>
        </w:rPr>
      </w:pPr>
      <w:r>
        <w:rPr>
          <w:rFonts w:ascii="Arial Narrow" w:hAnsi="Arial Narrow" w:cs="Calibri"/>
          <w:bCs/>
          <w:sz w:val="20"/>
          <w:szCs w:val="20"/>
          <w:lang w:eastAsia="es-CO"/>
        </w:rPr>
        <w:t>E</w:t>
      </w:r>
      <w:r w:rsidRPr="00C50C7E">
        <w:rPr>
          <w:rFonts w:ascii="Arial Narrow" w:hAnsi="Arial Narrow" w:cs="Calibri"/>
          <w:bCs/>
          <w:sz w:val="20"/>
          <w:szCs w:val="20"/>
          <w:lang w:eastAsia="es-CO"/>
        </w:rPr>
        <w:t>l 25 de septiembre de 2017 se adoptó el Instructivo de celebración de audiencia, con el fin de informar a la comunidad sobre las solicitudes de propuestas de contrato de concesión, el cual fue modificado el 7 de diciembre de 2017 y se encuentra codificado con el No. MIS3-P-001-I-006 en el sistema de gestión de calidad de la entidad; de otro lado, se diseñó el Instructivo de concertación con el fin de dar aplicación al principio de coordinación y concurrencia con las autoridades locales, el cual se encuentra codificado con el No. MIS3-P-001-I-007 en el mismo sistema.</w:t>
      </w:r>
    </w:p>
    <w:p w14:paraId="31ED3422" w14:textId="77777777" w:rsidR="00C50C7E" w:rsidRPr="00C50C7E" w:rsidRDefault="00C50C7E" w:rsidP="00C50C7E">
      <w:pPr>
        <w:ind w:right="49"/>
        <w:jc w:val="both"/>
        <w:rPr>
          <w:rFonts w:ascii="Arial Narrow" w:hAnsi="Arial Narrow" w:cs="Calibri"/>
          <w:bCs/>
          <w:sz w:val="20"/>
          <w:szCs w:val="20"/>
          <w:lang w:eastAsia="es-CO"/>
        </w:rPr>
      </w:pPr>
    </w:p>
    <w:p w14:paraId="73F5DD75" w14:textId="5207D7F2" w:rsidR="00C50C7E" w:rsidRPr="00C50C7E" w:rsidRDefault="00C50C7E" w:rsidP="00C50C7E">
      <w:pPr>
        <w:ind w:right="49"/>
        <w:jc w:val="both"/>
        <w:rPr>
          <w:rFonts w:ascii="Arial Narrow" w:hAnsi="Arial Narrow" w:cs="Calibri"/>
          <w:bCs/>
          <w:sz w:val="20"/>
          <w:szCs w:val="20"/>
          <w:lang w:eastAsia="es-CO"/>
        </w:rPr>
      </w:pPr>
      <w:r>
        <w:rPr>
          <w:rFonts w:ascii="Arial Narrow" w:hAnsi="Arial Narrow" w:cs="Calibri"/>
          <w:bCs/>
          <w:sz w:val="20"/>
          <w:szCs w:val="20"/>
          <w:lang w:eastAsia="es-CO"/>
        </w:rPr>
        <w:t>De otro lado</w:t>
      </w:r>
      <w:r w:rsidRPr="00C50C7E">
        <w:rPr>
          <w:rFonts w:ascii="Arial Narrow" w:hAnsi="Arial Narrow" w:cs="Calibri"/>
          <w:bCs/>
          <w:sz w:val="20"/>
          <w:szCs w:val="20"/>
          <w:lang w:eastAsia="es-CO"/>
        </w:rPr>
        <w:t>, el artículo 259 de la Ley 685 de 2001, señala que en los casos en que dentro del procedimiento que antecede al contrato de concesión deba oírse previamente a terceros, a representantes de las comunidades y a grupos o estamentos sociales, se buscará que estos reciban real y efectivamente, por los medios apropiados o comunicación de comparecencia dentro de los términos señalados en la Ley, toda la información necesaria.</w:t>
      </w:r>
    </w:p>
    <w:p w14:paraId="3A3DBAEE" w14:textId="77777777" w:rsidR="00C50C7E" w:rsidRPr="00C50C7E" w:rsidRDefault="00C50C7E" w:rsidP="00C50C7E">
      <w:pPr>
        <w:ind w:right="49"/>
        <w:jc w:val="both"/>
        <w:rPr>
          <w:rFonts w:ascii="Arial Narrow" w:hAnsi="Arial Narrow" w:cs="Calibri"/>
          <w:bCs/>
          <w:sz w:val="20"/>
          <w:szCs w:val="20"/>
          <w:lang w:eastAsia="es-CO"/>
        </w:rPr>
      </w:pPr>
    </w:p>
    <w:p w14:paraId="435C515A" w14:textId="52816CEB" w:rsidR="00152C62" w:rsidRPr="00506185" w:rsidRDefault="00AD011F" w:rsidP="00152C62">
      <w:pPr>
        <w:suppressAutoHyphens w:val="0"/>
        <w:autoSpaceDN/>
        <w:jc w:val="both"/>
        <w:textAlignment w:val="auto"/>
        <w:rPr>
          <w:rFonts w:ascii="Arial Narrow" w:eastAsia="Times New Roman" w:hAnsi="Arial Narrow"/>
          <w:i/>
          <w:iCs/>
          <w:sz w:val="20"/>
          <w:szCs w:val="20"/>
          <w:lang w:eastAsia="es-ES_tradnl"/>
        </w:rPr>
      </w:pPr>
      <w:r>
        <w:rPr>
          <w:rFonts w:ascii="Arial Narrow" w:hAnsi="Arial Narrow" w:cs="Calibri"/>
          <w:bCs/>
          <w:sz w:val="20"/>
          <w:szCs w:val="20"/>
          <w:lang w:eastAsia="es-CO"/>
        </w:rPr>
        <w:t xml:space="preserve">En igual sentido, </w:t>
      </w:r>
      <w:r w:rsidR="00C50C7E" w:rsidRPr="00C50C7E">
        <w:rPr>
          <w:rFonts w:ascii="Arial Narrow" w:hAnsi="Arial Narrow" w:cs="Calibri"/>
          <w:bCs/>
          <w:sz w:val="20"/>
          <w:szCs w:val="20"/>
          <w:lang w:eastAsia="es-CO"/>
        </w:rPr>
        <w:t xml:space="preserve">mediante Sentencia de Unificación No. SU-095 de 2018, la Corte Constitucional fijó criterios para la definición de mecanismos de participación ciudadana e instrumentos de coordinación y concurrencia nación territorio específicos para la explotación del subsuelo y de recursos naturales no renovables –RNNR. En tal sentido </w:t>
      </w:r>
      <w:r w:rsidR="00703EAA">
        <w:rPr>
          <w:rFonts w:ascii="Arial Narrow" w:hAnsi="Arial Narrow" w:cs="Calibri"/>
          <w:bCs/>
          <w:sz w:val="20"/>
          <w:szCs w:val="20"/>
          <w:lang w:eastAsia="es-CO"/>
        </w:rPr>
        <w:t xml:space="preserve">la Corte Constitucional exhortó al Congreso de la Republica, </w:t>
      </w:r>
      <w:r w:rsidR="00686669" w:rsidRPr="0077632D">
        <w:rPr>
          <w:rFonts w:ascii="Arial Narrow" w:hAnsi="Arial Narrow" w:cs="Calibri"/>
          <w:bCs/>
          <w:sz w:val="20"/>
          <w:szCs w:val="20"/>
          <w:lang w:eastAsia="es-CO"/>
        </w:rPr>
        <w:t>para que en el menor tiempo posible defina uno o varios mecanismos de participación ciudadana y uno o varios instrumentos de coordinación y concurrencia nación territorio</w:t>
      </w:r>
      <w:r w:rsidR="007325EF">
        <w:rPr>
          <w:rFonts w:ascii="Arial Narrow" w:hAnsi="Arial Narrow" w:cs="Calibri"/>
          <w:bCs/>
          <w:sz w:val="20"/>
          <w:szCs w:val="20"/>
          <w:lang w:eastAsia="es-CO"/>
        </w:rPr>
        <w:t xml:space="preserve">, para lo cual estableció como estandares jurisprudenciales los </w:t>
      </w:r>
      <w:r w:rsidR="00C01F97">
        <w:rPr>
          <w:rFonts w:ascii="Arial Narrow" w:hAnsi="Arial Narrow" w:cs="Calibri"/>
          <w:bCs/>
          <w:sz w:val="20"/>
          <w:szCs w:val="20"/>
          <w:lang w:eastAsia="es-CO"/>
        </w:rPr>
        <w:t xml:space="preserve">siguientes </w:t>
      </w:r>
      <w:r w:rsidR="00703AC1" w:rsidRPr="0077632D">
        <w:rPr>
          <w:rFonts w:ascii="Arial Narrow" w:hAnsi="Arial Narrow" w:cs="Calibri"/>
          <w:bCs/>
          <w:i/>
          <w:iCs/>
          <w:sz w:val="20"/>
          <w:szCs w:val="20"/>
          <w:lang w:eastAsia="es-CO"/>
        </w:rPr>
        <w:t>“</w:t>
      </w:r>
      <w:r w:rsidR="007325EF" w:rsidRPr="0077632D">
        <w:rPr>
          <w:rFonts w:ascii="Arial Narrow" w:hAnsi="Arial Narrow" w:cs="Calibri"/>
          <w:bCs/>
          <w:i/>
          <w:iCs/>
          <w:sz w:val="20"/>
          <w:szCs w:val="20"/>
          <w:lang w:eastAsia="es-CO"/>
        </w:rPr>
        <w:t xml:space="preserve">criterios </w:t>
      </w:r>
      <w:r w:rsidR="00B55831" w:rsidRPr="0077632D">
        <w:rPr>
          <w:rFonts w:ascii="Arial Narrow" w:hAnsi="Arial Narrow" w:cs="Calibri"/>
          <w:bCs/>
          <w:i/>
          <w:iCs/>
          <w:sz w:val="20"/>
          <w:szCs w:val="20"/>
          <w:lang w:eastAsia="es-CO"/>
        </w:rPr>
        <w:t>para la definición de mecanismos de participación ciudadana e instrumentos de coordinación y concurrencia nación territorio específicos para la explotación del subsuelo y de recursos naturales no renovables –RNNR-</w:t>
      </w:r>
      <w:r w:rsidR="00152C62">
        <w:rPr>
          <w:rFonts w:ascii="Arial Narrow" w:hAnsi="Arial Narrow" w:cs="Calibri"/>
          <w:bCs/>
          <w:i/>
          <w:iCs/>
          <w:sz w:val="20"/>
          <w:szCs w:val="20"/>
          <w:lang w:eastAsia="es-CO"/>
        </w:rPr>
        <w:t xml:space="preserve">: </w:t>
      </w:r>
      <w:r w:rsidR="00152C62" w:rsidRPr="00506185">
        <w:rPr>
          <w:rFonts w:ascii="Arial Narrow" w:eastAsia="Times New Roman" w:hAnsi="Arial Narrow"/>
          <w:i/>
          <w:iCs/>
          <w:sz w:val="20"/>
          <w:szCs w:val="20"/>
          <w:lang w:eastAsia="es-ES_tradnl"/>
        </w:rPr>
        <w:t xml:space="preserve">“1.                 Participación ciudadana y pluralidad. 2.                 Coordinación y concurrencia nación territorio.3.                  Inexistencia de un poder de veto de las entidades territoriales para la exploración y explotación del subsuelo y de recursos naturales no renovables4.                 Diferencialidad / Gradualidad. 5.                 Enfoque Territorial. 6.                 Legitimidad y Representatividad.7.                 Información previa, permanente, transparente, </w:t>
      </w:r>
      <w:r w:rsidR="00152C62" w:rsidRPr="00506185">
        <w:rPr>
          <w:rFonts w:ascii="Arial Narrow" w:eastAsia="Times New Roman" w:hAnsi="Arial Narrow"/>
          <w:i/>
          <w:iCs/>
          <w:sz w:val="20"/>
          <w:szCs w:val="20"/>
          <w:lang w:eastAsia="es-ES_tradnl"/>
        </w:rPr>
        <w:lastRenderedPageBreak/>
        <w:t>clara y suficiente. 8.                 Desarrollo sostenible. 9.                 Diálogo, comunicación  y confianza. 10.            Respeto, protección y garantía de los derechos humanos</w:t>
      </w:r>
      <w:r w:rsidR="00152C62">
        <w:rPr>
          <w:rFonts w:ascii="Arial Narrow" w:eastAsia="Times New Roman" w:hAnsi="Arial Narrow"/>
          <w:i/>
          <w:iCs/>
          <w:sz w:val="20"/>
          <w:szCs w:val="20"/>
          <w:lang w:eastAsia="es-ES_tradnl"/>
        </w:rPr>
        <w:t>.</w:t>
      </w:r>
      <w:r w:rsidR="00152C62" w:rsidRPr="00506185">
        <w:rPr>
          <w:rFonts w:ascii="Arial Narrow" w:eastAsia="Times New Roman" w:hAnsi="Arial Narrow"/>
          <w:i/>
          <w:iCs/>
          <w:sz w:val="20"/>
          <w:szCs w:val="20"/>
          <w:lang w:eastAsia="es-ES_tradnl"/>
        </w:rPr>
        <w:t>11.            Buena Fe.</w:t>
      </w:r>
      <w:r w:rsidR="00152C62">
        <w:rPr>
          <w:rFonts w:ascii="Arial Narrow" w:eastAsia="Times New Roman" w:hAnsi="Arial Narrow"/>
          <w:i/>
          <w:iCs/>
          <w:sz w:val="20"/>
          <w:szCs w:val="20"/>
          <w:lang w:eastAsia="es-ES_tradnl"/>
        </w:rPr>
        <w:t xml:space="preserve"> </w:t>
      </w:r>
      <w:r w:rsidR="00152C62" w:rsidRPr="00506185">
        <w:rPr>
          <w:rFonts w:ascii="Arial Narrow" w:eastAsia="Times New Roman" w:hAnsi="Arial Narrow"/>
          <w:i/>
          <w:iCs/>
          <w:sz w:val="20"/>
          <w:szCs w:val="20"/>
          <w:lang w:eastAsia="es-ES_tradnl"/>
        </w:rPr>
        <w:t>12.            Coordinación y fortalecimiento de la capacidad institucional nacional y territorial. 13.            Sostenibilidad fiscal.</w:t>
      </w:r>
      <w:r w:rsidR="00152C62">
        <w:rPr>
          <w:rFonts w:ascii="Arial Narrow" w:eastAsia="Times New Roman" w:hAnsi="Arial Narrow"/>
          <w:i/>
          <w:iCs/>
          <w:sz w:val="20"/>
          <w:szCs w:val="20"/>
          <w:lang w:eastAsia="es-ES_tradnl"/>
        </w:rPr>
        <w:t>”</w:t>
      </w:r>
    </w:p>
    <w:p w14:paraId="3FA0F619" w14:textId="77777777" w:rsidR="00C50C7E" w:rsidRPr="0077632D" w:rsidRDefault="00C50C7E" w:rsidP="00152C62">
      <w:pPr>
        <w:ind w:right="49"/>
        <w:jc w:val="both"/>
        <w:rPr>
          <w:rFonts w:ascii="Arial Narrow" w:hAnsi="Arial Narrow" w:cs="Calibri"/>
          <w:i/>
          <w:iCs/>
          <w:sz w:val="20"/>
          <w:szCs w:val="20"/>
          <w:lang w:eastAsia="es-CO"/>
        </w:rPr>
      </w:pPr>
    </w:p>
    <w:p w14:paraId="1D0DE88A" w14:textId="0608FFAB" w:rsidR="00C50C7E" w:rsidRPr="00C50C7E" w:rsidRDefault="00AD011F" w:rsidP="00067401">
      <w:pPr>
        <w:ind w:right="49"/>
        <w:jc w:val="both"/>
        <w:rPr>
          <w:rFonts w:ascii="Arial Narrow" w:hAnsi="Arial Narrow" w:cs="Calibri"/>
          <w:bCs/>
          <w:sz w:val="20"/>
          <w:szCs w:val="20"/>
          <w:lang w:eastAsia="es-CO"/>
        </w:rPr>
      </w:pPr>
      <w:r w:rsidRPr="00067401">
        <w:rPr>
          <w:rFonts w:ascii="Arial Narrow" w:hAnsi="Arial Narrow" w:cs="Calibri"/>
          <w:sz w:val="20"/>
          <w:szCs w:val="20"/>
          <w:lang w:eastAsia="es-CO"/>
        </w:rPr>
        <w:t>E</w:t>
      </w:r>
      <w:r w:rsidR="00C50C7E" w:rsidRPr="00067401">
        <w:rPr>
          <w:rFonts w:ascii="Arial Narrow" w:hAnsi="Arial Narrow" w:cs="Calibri"/>
          <w:sz w:val="20"/>
          <w:szCs w:val="20"/>
          <w:lang w:eastAsia="es-CO"/>
        </w:rPr>
        <w:t>n cumplimiento de lo anterior, el 1 de marzo de 2021 se complemen</w:t>
      </w:r>
      <w:r w:rsidR="00C50C7E" w:rsidRPr="00C50C7E">
        <w:rPr>
          <w:rFonts w:ascii="Arial Narrow" w:hAnsi="Arial Narrow" w:cs="Calibri"/>
          <w:bCs/>
          <w:sz w:val="20"/>
          <w:szCs w:val="20"/>
          <w:lang w:eastAsia="es-CO"/>
        </w:rPr>
        <w:t>tó el Instructivo de celebración de audiencia incluyendo nuevos canales para convocatoria de la comunidad a las audiencias de participación.</w:t>
      </w:r>
    </w:p>
    <w:p w14:paraId="24108291" w14:textId="77777777" w:rsidR="004865F6" w:rsidRDefault="004865F6" w:rsidP="004865F6">
      <w:pPr>
        <w:jc w:val="both"/>
        <w:rPr>
          <w:rFonts w:ascii="Arial Narrow" w:hAnsi="Arial Narrow" w:cs="Arial"/>
          <w:sz w:val="20"/>
          <w:szCs w:val="20"/>
        </w:rPr>
      </w:pPr>
    </w:p>
    <w:p w14:paraId="1356F194" w14:textId="7516A130" w:rsidR="008C02E9" w:rsidRPr="00C50C7E" w:rsidRDefault="008C02E9" w:rsidP="008C02E9">
      <w:pPr>
        <w:ind w:right="49"/>
        <w:jc w:val="both"/>
        <w:rPr>
          <w:rFonts w:ascii="Arial Narrow" w:hAnsi="Arial Narrow" w:cs="Calibri"/>
          <w:bCs/>
          <w:sz w:val="20"/>
          <w:szCs w:val="20"/>
          <w:lang w:eastAsia="es-CO"/>
        </w:rPr>
      </w:pPr>
      <w:r>
        <w:rPr>
          <w:rFonts w:ascii="Arial Narrow" w:hAnsi="Arial Narrow" w:cs="Calibri"/>
          <w:bCs/>
          <w:sz w:val="20"/>
          <w:szCs w:val="20"/>
          <w:lang w:eastAsia="es-CO"/>
        </w:rPr>
        <w:t xml:space="preserve">En </w:t>
      </w:r>
      <w:r w:rsidRPr="00C50C7E">
        <w:rPr>
          <w:rFonts w:ascii="Arial Narrow" w:hAnsi="Arial Narrow" w:cs="Calibri"/>
          <w:bCs/>
          <w:sz w:val="20"/>
          <w:szCs w:val="20"/>
          <w:lang w:eastAsia="es-CO"/>
        </w:rPr>
        <w:t xml:space="preserve">atención a lo </w:t>
      </w:r>
      <w:r w:rsidR="005554D9">
        <w:rPr>
          <w:rFonts w:ascii="Arial Narrow" w:hAnsi="Arial Narrow" w:cs="Calibri"/>
          <w:bCs/>
          <w:sz w:val="20"/>
          <w:szCs w:val="20"/>
          <w:lang w:eastAsia="es-CO"/>
        </w:rPr>
        <w:t>estableci</w:t>
      </w:r>
      <w:r w:rsidR="005554D9" w:rsidRPr="00C50C7E">
        <w:rPr>
          <w:rFonts w:ascii="Arial Narrow" w:hAnsi="Arial Narrow" w:cs="Calibri"/>
          <w:bCs/>
          <w:sz w:val="20"/>
          <w:szCs w:val="20"/>
          <w:lang w:eastAsia="es-CO"/>
        </w:rPr>
        <w:t xml:space="preserve">do </w:t>
      </w:r>
      <w:r w:rsidRPr="00C50C7E">
        <w:rPr>
          <w:rFonts w:ascii="Arial Narrow" w:hAnsi="Arial Narrow" w:cs="Calibri"/>
          <w:bCs/>
          <w:sz w:val="20"/>
          <w:szCs w:val="20"/>
          <w:lang w:eastAsia="es-CO"/>
        </w:rPr>
        <w:t>por la Alta Corte, la Agencia Nacional de Minería advirt</w:t>
      </w:r>
      <w:r>
        <w:rPr>
          <w:rFonts w:ascii="Arial Narrow" w:hAnsi="Arial Narrow" w:cs="Calibri"/>
          <w:bCs/>
          <w:sz w:val="20"/>
          <w:szCs w:val="20"/>
          <w:lang w:eastAsia="es-CO"/>
        </w:rPr>
        <w:t>ió</w:t>
      </w:r>
      <w:r w:rsidRPr="00C50C7E">
        <w:rPr>
          <w:rFonts w:ascii="Arial Narrow" w:hAnsi="Arial Narrow" w:cs="Calibri"/>
          <w:bCs/>
          <w:sz w:val="20"/>
          <w:szCs w:val="20"/>
          <w:lang w:eastAsia="es-CO"/>
        </w:rPr>
        <w:t xml:space="preserve"> la necesidad de continuar fortaleciendo el programa de relacionamiento con el territorio, en especial reforzando la participación de la comunidad dentro del procedimiento de audiencias, hasta tanto se cuente con la normativa que regule la participación ciudadana en temas mineros</w:t>
      </w:r>
      <w:r>
        <w:rPr>
          <w:rFonts w:ascii="Arial Narrow" w:hAnsi="Arial Narrow" w:cs="Calibri"/>
          <w:bCs/>
          <w:sz w:val="20"/>
          <w:szCs w:val="20"/>
          <w:lang w:eastAsia="es-CO"/>
        </w:rPr>
        <w:t xml:space="preserve"> en cabeza del Congreso de la República.</w:t>
      </w:r>
      <w:r w:rsidRPr="00C50C7E">
        <w:rPr>
          <w:rFonts w:ascii="Arial Narrow" w:hAnsi="Arial Narrow" w:cs="Calibri"/>
          <w:bCs/>
          <w:sz w:val="20"/>
          <w:szCs w:val="20"/>
          <w:lang w:eastAsia="es-CO"/>
        </w:rPr>
        <w:t xml:space="preserve"> </w:t>
      </w:r>
    </w:p>
    <w:p w14:paraId="097E785C" w14:textId="77777777" w:rsidR="008C02E9" w:rsidRPr="00C50C7E" w:rsidRDefault="008C02E9" w:rsidP="008C02E9">
      <w:pPr>
        <w:ind w:right="49"/>
        <w:jc w:val="both"/>
        <w:rPr>
          <w:rFonts w:ascii="Arial Narrow" w:hAnsi="Arial Narrow" w:cs="Calibri"/>
          <w:bCs/>
          <w:sz w:val="20"/>
          <w:szCs w:val="20"/>
          <w:lang w:eastAsia="es-CO"/>
        </w:rPr>
      </w:pPr>
    </w:p>
    <w:p w14:paraId="53DC20BC" w14:textId="77777777" w:rsidR="008C02E9" w:rsidRDefault="008C02E9" w:rsidP="008C02E9">
      <w:pPr>
        <w:ind w:right="49"/>
        <w:jc w:val="both"/>
        <w:rPr>
          <w:rFonts w:ascii="Arial Narrow" w:hAnsi="Arial Narrow" w:cs="Calibri"/>
          <w:bCs/>
          <w:sz w:val="20"/>
          <w:szCs w:val="20"/>
          <w:lang w:eastAsia="es-CO"/>
        </w:rPr>
      </w:pPr>
      <w:r>
        <w:rPr>
          <w:rFonts w:ascii="Arial Narrow" w:hAnsi="Arial Narrow" w:cs="Calibri"/>
          <w:bCs/>
          <w:sz w:val="20"/>
          <w:szCs w:val="20"/>
          <w:lang w:eastAsia="es-CO"/>
        </w:rPr>
        <w:t>E</w:t>
      </w:r>
      <w:r w:rsidRPr="00C50C7E">
        <w:rPr>
          <w:rFonts w:ascii="Arial Narrow" w:hAnsi="Arial Narrow" w:cs="Calibri"/>
          <w:bCs/>
          <w:sz w:val="20"/>
          <w:szCs w:val="20"/>
          <w:lang w:eastAsia="es-CO"/>
        </w:rPr>
        <w:t>n ese orden de ideas, se busca garantizar el derecho a la participación real, inclusiva y efectiva de la comunidad, organizaciones sociales y demás entidades públicas y privadas en los procesos de titulación minera; así como la aplicación de los principios de coordinación, concurrencia y subsidiariedad en el proceso de titulación minera con el fin de armonizar la legislación ambiental, las políticas y normas municipales y/o departamentales con el desarrollo de los proyectos mineros</w:t>
      </w:r>
      <w:r w:rsidRPr="00620DC2">
        <w:rPr>
          <w:rFonts w:ascii="Arial Narrow" w:hAnsi="Arial Narrow" w:cs="Calibri"/>
          <w:bCs/>
          <w:sz w:val="20"/>
          <w:szCs w:val="20"/>
          <w:lang w:eastAsia="es-CO"/>
        </w:rPr>
        <w:t>.</w:t>
      </w:r>
    </w:p>
    <w:p w14:paraId="10B9C92E" w14:textId="77777777" w:rsidR="00BA739C" w:rsidRPr="008C02E9" w:rsidRDefault="00BA739C" w:rsidP="004865F6">
      <w:pPr>
        <w:ind w:right="49"/>
        <w:jc w:val="both"/>
        <w:rPr>
          <w:rFonts w:ascii="Arial Narrow" w:hAnsi="Arial Narrow" w:cs="Calibri"/>
          <w:color w:val="000000"/>
          <w:sz w:val="20"/>
          <w:szCs w:val="20"/>
        </w:rPr>
      </w:pPr>
    </w:p>
    <w:p w14:paraId="25D47353" w14:textId="755718B1"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rPr>
        <w:t xml:space="preserve">Por lo anterior </w:t>
      </w:r>
      <w:r w:rsidRPr="004865F6">
        <w:rPr>
          <w:rFonts w:ascii="Arial Narrow" w:hAnsi="Arial Narrow"/>
          <w:b/>
          <w:color w:val="000000"/>
          <w:sz w:val="20"/>
          <w:szCs w:val="20"/>
        </w:rPr>
        <w:t xml:space="preserve">se hace necesario </w:t>
      </w:r>
      <w:r w:rsidR="00DC2838">
        <w:rPr>
          <w:rFonts w:ascii="Arial Narrow" w:hAnsi="Arial Narrow"/>
          <w:b/>
          <w:color w:val="000000"/>
          <w:sz w:val="20"/>
          <w:szCs w:val="20"/>
        </w:rPr>
        <w:t>fortalecer</w:t>
      </w:r>
      <w:r w:rsidRPr="004865F6">
        <w:rPr>
          <w:rFonts w:ascii="Arial Narrow" w:hAnsi="Arial Narrow" w:cs="Calibri"/>
          <w:color w:val="000000"/>
          <w:sz w:val="20"/>
          <w:szCs w:val="20"/>
        </w:rPr>
        <w:t xml:space="preserve"> </w:t>
      </w:r>
      <w:r w:rsidR="00DC2838">
        <w:rPr>
          <w:rFonts w:ascii="Arial Narrow" w:hAnsi="Arial Narrow" w:cs="Calibri"/>
          <w:color w:val="000000"/>
          <w:sz w:val="20"/>
          <w:szCs w:val="20"/>
        </w:rPr>
        <w:t xml:space="preserve">el procedimiento de relacionamiento, de conformidad con lo dispuesto en la orden emitida por la Corte Constitucional en la </w:t>
      </w:r>
      <w:r w:rsidR="00DC2838" w:rsidRPr="00DC2838">
        <w:rPr>
          <w:rFonts w:ascii="Arial Narrow" w:hAnsi="Arial Narrow" w:cs="Calibri"/>
          <w:color w:val="000000"/>
          <w:sz w:val="20"/>
          <w:szCs w:val="20"/>
        </w:rPr>
        <w:t>Sentencia de Unificación No. SU-095 de 2018</w:t>
      </w:r>
      <w:r w:rsidRPr="004865F6">
        <w:rPr>
          <w:rFonts w:ascii="Arial Narrow" w:hAnsi="Arial Narrow" w:cs="Calibri"/>
          <w:color w:val="000000"/>
          <w:sz w:val="20"/>
          <w:szCs w:val="20"/>
        </w:rPr>
        <w:t xml:space="preserve">.   </w:t>
      </w:r>
    </w:p>
    <w:p w14:paraId="25D47354" w14:textId="77777777" w:rsidR="00900692" w:rsidRPr="004865F6" w:rsidRDefault="00900692" w:rsidP="004865F6">
      <w:pPr>
        <w:ind w:right="49"/>
        <w:jc w:val="both"/>
        <w:rPr>
          <w:rFonts w:ascii="Arial Narrow" w:hAnsi="Arial Narrow" w:cs="Calibri"/>
          <w:color w:val="000000"/>
          <w:sz w:val="20"/>
          <w:szCs w:val="20"/>
          <w:lang w:val="es-MX"/>
        </w:rPr>
      </w:pPr>
    </w:p>
    <w:p w14:paraId="1BB5A7E8" w14:textId="77777777" w:rsidR="004865F6" w:rsidRPr="004865F6" w:rsidRDefault="004865F6" w:rsidP="004865F6">
      <w:pPr>
        <w:pStyle w:val="Cuadrculamedia1-nfasis21"/>
        <w:tabs>
          <w:tab w:val="left" w:pos="1044"/>
        </w:tabs>
        <w:spacing w:after="0" w:line="240" w:lineRule="auto"/>
        <w:ind w:left="1428" w:right="49"/>
        <w:rPr>
          <w:rFonts w:ascii="Arial Narrow" w:hAnsi="Arial Narrow" w:cs="Calibri"/>
          <w:color w:val="000000"/>
          <w:sz w:val="20"/>
          <w:szCs w:val="20"/>
        </w:rPr>
      </w:pPr>
    </w:p>
    <w:p w14:paraId="18B1F628" w14:textId="24D52DA1" w:rsidR="004865F6" w:rsidRDefault="004865F6"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r w:rsidRPr="004865F6">
        <w:rPr>
          <w:rFonts w:ascii="Arial Narrow" w:hAnsi="Arial Narrow" w:cs="Calibri"/>
          <w:b/>
          <w:color w:val="000000"/>
          <w:sz w:val="20"/>
          <w:szCs w:val="20"/>
          <w:u w:val="single"/>
          <w:lang w:val="es-MX"/>
        </w:rPr>
        <w:t>Impactos esperados</w:t>
      </w:r>
    </w:p>
    <w:p w14:paraId="409A5894" w14:textId="77777777" w:rsidR="004865F6" w:rsidRDefault="004865F6" w:rsidP="004865F6">
      <w:pPr>
        <w:pStyle w:val="Cuadrculamedia1-nfasis21"/>
        <w:spacing w:after="0" w:line="240" w:lineRule="auto"/>
        <w:ind w:left="66" w:right="49"/>
        <w:rPr>
          <w:rFonts w:ascii="Arial Narrow" w:hAnsi="Arial Narrow" w:cs="Calibri"/>
          <w:b/>
          <w:color w:val="000000"/>
          <w:sz w:val="20"/>
          <w:szCs w:val="20"/>
          <w:u w:val="single"/>
          <w:lang w:val="es-MX"/>
        </w:rPr>
      </w:pPr>
    </w:p>
    <w:p w14:paraId="4856F47C" w14:textId="59AA2225" w:rsidR="008D55FD" w:rsidRDefault="008D55FD" w:rsidP="004865F6">
      <w:pPr>
        <w:pStyle w:val="Cuadrculamedia1-nfasis21"/>
        <w:spacing w:after="0" w:line="240" w:lineRule="auto"/>
        <w:ind w:left="66" w:right="49"/>
        <w:rPr>
          <w:rFonts w:ascii="Arial Narrow" w:hAnsi="Arial Narrow" w:cs="Calibri"/>
          <w:bCs/>
          <w:color w:val="000000"/>
          <w:sz w:val="20"/>
          <w:szCs w:val="20"/>
          <w:lang w:val="es-MX"/>
        </w:rPr>
      </w:pPr>
      <w:r>
        <w:rPr>
          <w:rFonts w:ascii="Arial Narrow" w:hAnsi="Arial Narrow" w:cs="Calibri"/>
          <w:bCs/>
          <w:color w:val="000000"/>
          <w:sz w:val="20"/>
          <w:szCs w:val="20"/>
          <w:lang w:val="es-MX"/>
        </w:rPr>
        <w:t>Los</w:t>
      </w:r>
      <w:r w:rsidR="004865F6">
        <w:rPr>
          <w:rFonts w:ascii="Arial Narrow" w:hAnsi="Arial Narrow" w:cs="Calibri"/>
          <w:bCs/>
          <w:color w:val="000000"/>
          <w:sz w:val="20"/>
          <w:szCs w:val="20"/>
          <w:lang w:val="es-MX"/>
        </w:rPr>
        <w:t xml:space="preserve"> impacto</w:t>
      </w:r>
      <w:r>
        <w:rPr>
          <w:rFonts w:ascii="Arial Narrow" w:hAnsi="Arial Narrow" w:cs="Calibri"/>
          <w:bCs/>
          <w:color w:val="000000"/>
          <w:sz w:val="20"/>
          <w:szCs w:val="20"/>
          <w:lang w:val="es-MX"/>
        </w:rPr>
        <w:t>s</w:t>
      </w:r>
      <w:r w:rsidR="004865F6">
        <w:rPr>
          <w:rFonts w:ascii="Arial Narrow" w:hAnsi="Arial Narrow" w:cs="Calibri"/>
          <w:bCs/>
          <w:color w:val="000000"/>
          <w:sz w:val="20"/>
          <w:szCs w:val="20"/>
          <w:lang w:val="es-MX"/>
        </w:rPr>
        <w:t xml:space="preserve"> esperado</w:t>
      </w:r>
      <w:r>
        <w:rPr>
          <w:rFonts w:ascii="Arial Narrow" w:hAnsi="Arial Narrow" w:cs="Calibri"/>
          <w:bCs/>
          <w:color w:val="000000"/>
          <w:sz w:val="20"/>
          <w:szCs w:val="20"/>
          <w:lang w:val="es-MX"/>
        </w:rPr>
        <w:t>s</w:t>
      </w:r>
      <w:r w:rsidR="004865F6">
        <w:rPr>
          <w:rFonts w:ascii="Arial Narrow" w:hAnsi="Arial Narrow" w:cs="Calibri"/>
          <w:bCs/>
          <w:color w:val="000000"/>
          <w:sz w:val="20"/>
          <w:szCs w:val="20"/>
          <w:lang w:val="es-MX"/>
        </w:rPr>
        <w:t xml:space="preserve"> </w:t>
      </w:r>
      <w:r>
        <w:rPr>
          <w:rFonts w:ascii="Arial Narrow" w:hAnsi="Arial Narrow" w:cs="Calibri"/>
          <w:bCs/>
          <w:color w:val="000000"/>
          <w:sz w:val="20"/>
          <w:szCs w:val="20"/>
          <w:lang w:val="es-MX"/>
        </w:rPr>
        <w:t xml:space="preserve">que se tienen con esta nueva reglamentación </w:t>
      </w:r>
      <w:r w:rsidR="004865F6">
        <w:rPr>
          <w:rFonts w:ascii="Arial Narrow" w:hAnsi="Arial Narrow" w:cs="Calibri"/>
          <w:bCs/>
          <w:color w:val="000000"/>
          <w:sz w:val="20"/>
          <w:szCs w:val="20"/>
          <w:lang w:val="es-MX"/>
        </w:rPr>
        <w:t>s</w:t>
      </w:r>
      <w:r>
        <w:rPr>
          <w:rFonts w:ascii="Arial Narrow" w:hAnsi="Arial Narrow" w:cs="Calibri"/>
          <w:bCs/>
          <w:color w:val="000000"/>
          <w:sz w:val="20"/>
          <w:szCs w:val="20"/>
          <w:lang w:val="es-MX"/>
        </w:rPr>
        <w:t xml:space="preserve">on: </w:t>
      </w:r>
    </w:p>
    <w:p w14:paraId="249C9B2F" w14:textId="77777777" w:rsidR="00C04BC9" w:rsidRDefault="00C04BC9" w:rsidP="004865F6">
      <w:pPr>
        <w:pStyle w:val="Cuadrculamedia1-nfasis21"/>
        <w:spacing w:after="0" w:line="240" w:lineRule="auto"/>
        <w:ind w:left="66" w:right="49"/>
        <w:rPr>
          <w:rFonts w:ascii="Arial Narrow" w:hAnsi="Arial Narrow" w:cs="Calibri"/>
          <w:bCs/>
          <w:color w:val="000000"/>
          <w:sz w:val="20"/>
          <w:szCs w:val="20"/>
          <w:lang w:val="es-MX"/>
        </w:rPr>
      </w:pPr>
    </w:p>
    <w:p w14:paraId="25D59B6C" w14:textId="77777777" w:rsidR="00D57222" w:rsidRDefault="00D57222" w:rsidP="008B0279">
      <w:pPr>
        <w:pStyle w:val="Cuadrculamedia1-nfasis21"/>
        <w:numPr>
          <w:ilvl w:val="0"/>
          <w:numId w:val="3"/>
        </w:numPr>
        <w:spacing w:after="0" w:line="240" w:lineRule="auto"/>
        <w:ind w:right="49"/>
        <w:jc w:val="both"/>
        <w:rPr>
          <w:rFonts w:ascii="Arial Narrow" w:hAnsi="Arial Narrow" w:cs="Calibri"/>
          <w:bCs/>
          <w:color w:val="000000"/>
          <w:sz w:val="20"/>
          <w:szCs w:val="20"/>
        </w:rPr>
      </w:pPr>
      <w:r>
        <w:rPr>
          <w:rFonts w:ascii="Arial Narrow" w:hAnsi="Arial Narrow" w:cs="Calibri"/>
          <w:bCs/>
          <w:color w:val="000000"/>
          <w:sz w:val="20"/>
          <w:szCs w:val="20"/>
        </w:rPr>
        <w:t>G</w:t>
      </w:r>
      <w:r w:rsidRPr="00D57222">
        <w:rPr>
          <w:rFonts w:ascii="Arial Narrow" w:hAnsi="Arial Narrow" w:cs="Calibri"/>
          <w:bCs/>
          <w:color w:val="000000"/>
          <w:sz w:val="20"/>
          <w:szCs w:val="20"/>
        </w:rPr>
        <w:t>arantizar el derecho a la participación real, inclusiva y efectiva de la comunidad, organizaciones sociales y entidades públicas y privadas en los procesos de titulación minera</w:t>
      </w:r>
      <w:r>
        <w:rPr>
          <w:rFonts w:ascii="Arial Narrow" w:hAnsi="Arial Narrow" w:cs="Calibri"/>
          <w:bCs/>
          <w:color w:val="000000"/>
          <w:sz w:val="20"/>
          <w:szCs w:val="20"/>
        </w:rPr>
        <w:t>.</w:t>
      </w:r>
    </w:p>
    <w:p w14:paraId="4BB9678D" w14:textId="7BD1E469" w:rsidR="00B771FE" w:rsidRPr="0077632D" w:rsidRDefault="00D57222" w:rsidP="0077632D">
      <w:pPr>
        <w:pStyle w:val="Prrafodelista"/>
        <w:numPr>
          <w:ilvl w:val="0"/>
          <w:numId w:val="3"/>
        </w:numPr>
        <w:suppressAutoHyphens w:val="0"/>
        <w:jc w:val="both"/>
        <w:rPr>
          <w:rFonts w:ascii="Arial Narrow" w:hAnsi="Arial Narrow" w:cs="Calibri"/>
          <w:bCs/>
          <w:color w:val="000000"/>
          <w:sz w:val="20"/>
          <w:szCs w:val="20"/>
        </w:rPr>
      </w:pPr>
      <w:r w:rsidRPr="0077632D">
        <w:rPr>
          <w:rFonts w:ascii="Arial Narrow" w:hAnsi="Arial Narrow" w:cs="Calibri"/>
          <w:bCs/>
          <w:color w:val="000000"/>
          <w:sz w:val="20"/>
          <w:szCs w:val="20"/>
        </w:rPr>
        <w:t>Aplicación de los principios de coordinación, concurrencia y subsidiariedad en el proceso de titulación minera</w:t>
      </w:r>
      <w:r w:rsidR="00B771FE" w:rsidRPr="0077632D">
        <w:rPr>
          <w:rFonts w:ascii="Arial Narrow" w:hAnsi="Arial Narrow" w:cs="Calibri"/>
          <w:bCs/>
          <w:color w:val="000000"/>
          <w:sz w:val="20"/>
          <w:szCs w:val="20"/>
        </w:rPr>
        <w:t>, en ejercicio de las competencias atribuidas a los distintos niveles territoriales en los términos que establezca la ley.</w:t>
      </w:r>
    </w:p>
    <w:p w14:paraId="1A98080C" w14:textId="2B45704B" w:rsidR="008D55FD" w:rsidRPr="008B0279" w:rsidRDefault="00D57222" w:rsidP="008B0279">
      <w:pPr>
        <w:pStyle w:val="Cuadrculamedia1-nfasis21"/>
        <w:numPr>
          <w:ilvl w:val="0"/>
          <w:numId w:val="3"/>
        </w:numPr>
        <w:spacing w:after="0" w:line="240" w:lineRule="auto"/>
        <w:ind w:right="49"/>
        <w:jc w:val="both"/>
        <w:rPr>
          <w:rFonts w:ascii="Arial Narrow" w:hAnsi="Arial Narrow" w:cs="Calibri"/>
          <w:bCs/>
          <w:color w:val="000000"/>
          <w:sz w:val="20"/>
          <w:szCs w:val="20"/>
        </w:rPr>
      </w:pPr>
      <w:r w:rsidRPr="00B771FE">
        <w:rPr>
          <w:rFonts w:ascii="Arial Narrow" w:hAnsi="Arial Narrow" w:cs="Calibri"/>
          <w:bCs/>
          <w:color w:val="000000"/>
          <w:sz w:val="20"/>
          <w:szCs w:val="20"/>
        </w:rPr>
        <w:t>Armonizar la legislación ambiental, las políticas y normas municipales y/o departamentales con el desarrollo de los proyectos mineros.</w:t>
      </w:r>
    </w:p>
    <w:p w14:paraId="67CAB7B7" w14:textId="5921AE98" w:rsidR="00D57222" w:rsidRDefault="00D57222" w:rsidP="00C04BC9">
      <w:pPr>
        <w:pStyle w:val="Cuadrculamedia1-nfasis21"/>
        <w:numPr>
          <w:ilvl w:val="0"/>
          <w:numId w:val="3"/>
        </w:numPr>
        <w:spacing w:after="0" w:line="240" w:lineRule="auto"/>
        <w:ind w:right="49"/>
        <w:jc w:val="both"/>
        <w:rPr>
          <w:rFonts w:ascii="Arial Narrow" w:hAnsi="Arial Narrow" w:cs="Calibri"/>
          <w:bCs/>
          <w:color w:val="000000"/>
          <w:sz w:val="20"/>
          <w:szCs w:val="20"/>
        </w:rPr>
      </w:pPr>
      <w:r w:rsidRPr="00D57222">
        <w:rPr>
          <w:rFonts w:ascii="Arial Narrow" w:hAnsi="Arial Narrow" w:cs="Calibri"/>
          <w:bCs/>
          <w:color w:val="000000"/>
          <w:sz w:val="20"/>
          <w:szCs w:val="20"/>
        </w:rPr>
        <w:t>Suscribir posibles acuerdos y compromisos entre la comunidad y los proponentes, que serán incorporados en el Plan de Gestión Social y constituirán la línea base para la construcción del mismo</w:t>
      </w:r>
      <w:r>
        <w:rPr>
          <w:rFonts w:ascii="Arial Narrow" w:hAnsi="Arial Narrow" w:cs="Calibri"/>
          <w:bCs/>
          <w:color w:val="000000"/>
          <w:sz w:val="20"/>
          <w:szCs w:val="20"/>
        </w:rPr>
        <w:t>,</w:t>
      </w:r>
      <w:r w:rsidRPr="00D57222">
        <w:rPr>
          <w:rFonts w:ascii="Arial Narrow" w:hAnsi="Arial Narrow" w:cs="Calibri"/>
          <w:bCs/>
          <w:color w:val="000000"/>
          <w:sz w:val="20"/>
          <w:szCs w:val="20"/>
        </w:rPr>
        <w:t xml:space="preserve"> </w:t>
      </w:r>
      <w:r>
        <w:rPr>
          <w:rFonts w:ascii="Arial Narrow" w:hAnsi="Arial Narrow" w:cs="Calibri"/>
          <w:bCs/>
          <w:color w:val="000000"/>
          <w:sz w:val="20"/>
          <w:szCs w:val="20"/>
        </w:rPr>
        <w:t>en el evento de otorgarse</w:t>
      </w:r>
      <w:r w:rsidR="003A36B2">
        <w:rPr>
          <w:rFonts w:ascii="Arial Narrow" w:hAnsi="Arial Narrow" w:cs="Calibri"/>
          <w:bCs/>
          <w:color w:val="000000"/>
          <w:sz w:val="20"/>
          <w:szCs w:val="20"/>
        </w:rPr>
        <w:t xml:space="preserve"> </w:t>
      </w:r>
      <w:r w:rsidRPr="00D57222">
        <w:rPr>
          <w:rFonts w:ascii="Arial Narrow" w:hAnsi="Arial Narrow" w:cs="Calibri"/>
          <w:bCs/>
          <w:color w:val="000000"/>
          <w:sz w:val="20"/>
          <w:szCs w:val="20"/>
        </w:rPr>
        <w:t xml:space="preserve"> Contrato de Concesión Minera</w:t>
      </w:r>
    </w:p>
    <w:p w14:paraId="3D3E312B" w14:textId="77777777" w:rsidR="008D55FD" w:rsidRPr="00C04BC9" w:rsidRDefault="008D55FD" w:rsidP="00C04BC9">
      <w:pPr>
        <w:pStyle w:val="Cuadrculamedia1-nfasis21"/>
        <w:spacing w:after="0" w:line="240" w:lineRule="auto"/>
        <w:ind w:left="426" w:right="49"/>
        <w:jc w:val="both"/>
        <w:rPr>
          <w:rFonts w:ascii="Arial Narrow" w:hAnsi="Arial Narrow" w:cs="Calibri"/>
          <w:bCs/>
          <w:color w:val="000000"/>
          <w:sz w:val="20"/>
          <w:szCs w:val="20"/>
        </w:rPr>
      </w:pPr>
    </w:p>
    <w:p w14:paraId="34590734" w14:textId="77777777" w:rsidR="008D55FD" w:rsidRPr="004865F6" w:rsidRDefault="008D55FD" w:rsidP="004865F6">
      <w:pPr>
        <w:pStyle w:val="Cuadrculamedia1-nfasis21"/>
        <w:spacing w:after="0" w:line="240" w:lineRule="auto"/>
        <w:ind w:left="66" w:right="49"/>
        <w:rPr>
          <w:rFonts w:ascii="Arial Narrow" w:hAnsi="Arial Narrow" w:cs="Calibri"/>
          <w:bCs/>
          <w:color w:val="000000"/>
          <w:sz w:val="20"/>
          <w:szCs w:val="20"/>
          <w:lang w:val="es-MX"/>
        </w:rPr>
      </w:pPr>
    </w:p>
    <w:p w14:paraId="54299B9A" w14:textId="4E6A6922" w:rsidR="004865F6" w:rsidRDefault="004865F6"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r w:rsidRPr="004865F6">
        <w:rPr>
          <w:rFonts w:ascii="Arial Narrow" w:hAnsi="Arial Narrow" w:cs="Calibri"/>
          <w:b/>
          <w:color w:val="000000"/>
          <w:sz w:val="20"/>
          <w:szCs w:val="20"/>
          <w:u w:val="single"/>
          <w:lang w:val="es-MX"/>
        </w:rPr>
        <w:t>Ámbito de aplicación y sujetos destinatarios</w:t>
      </w:r>
    </w:p>
    <w:p w14:paraId="795F4262" w14:textId="77777777" w:rsidR="004865F6" w:rsidRDefault="004865F6" w:rsidP="004865F6">
      <w:pPr>
        <w:pStyle w:val="Cuadrculamedia1-nfasis21"/>
        <w:spacing w:after="0" w:line="240" w:lineRule="auto"/>
        <w:ind w:left="66" w:right="49"/>
        <w:rPr>
          <w:rFonts w:ascii="Arial Narrow" w:hAnsi="Arial Narrow" w:cs="Calibri"/>
          <w:b/>
          <w:color w:val="000000"/>
          <w:sz w:val="20"/>
          <w:szCs w:val="20"/>
          <w:u w:val="single"/>
          <w:lang w:val="es-MX"/>
        </w:rPr>
      </w:pPr>
    </w:p>
    <w:p w14:paraId="6EC9CD5B" w14:textId="26486CDB" w:rsidR="004865F6" w:rsidRDefault="00C04BC9" w:rsidP="003A36B2">
      <w:pPr>
        <w:pStyle w:val="Cuadrculamedia1-nfasis21"/>
        <w:spacing w:line="240" w:lineRule="auto"/>
        <w:ind w:left="66" w:right="49"/>
        <w:jc w:val="both"/>
        <w:rPr>
          <w:rFonts w:ascii="Arial Narrow" w:hAnsi="Arial Narrow" w:cs="Calibri"/>
          <w:bCs/>
          <w:color w:val="000000"/>
          <w:sz w:val="20"/>
          <w:szCs w:val="20"/>
          <w:lang w:val="es-MX"/>
        </w:rPr>
      </w:pPr>
      <w:r>
        <w:rPr>
          <w:rFonts w:ascii="Arial Narrow" w:hAnsi="Arial Narrow" w:cs="Calibri"/>
          <w:bCs/>
          <w:color w:val="000000"/>
          <w:sz w:val="20"/>
          <w:szCs w:val="20"/>
          <w:lang w:val="es-MX"/>
        </w:rPr>
        <w:t xml:space="preserve">Esta nueva reglamentación </w:t>
      </w:r>
      <w:r w:rsidR="003A36B2">
        <w:rPr>
          <w:rFonts w:ascii="Arial Narrow" w:hAnsi="Arial Narrow" w:cs="Calibri"/>
          <w:bCs/>
          <w:color w:val="000000"/>
          <w:sz w:val="20"/>
          <w:szCs w:val="20"/>
          <w:lang w:val="es-MX"/>
        </w:rPr>
        <w:t>es</w:t>
      </w:r>
      <w:r w:rsidR="003A36B2" w:rsidRPr="003A36B2">
        <w:rPr>
          <w:rFonts w:ascii="Arial Narrow" w:hAnsi="Arial Narrow" w:cs="Calibri"/>
          <w:bCs/>
          <w:color w:val="000000"/>
          <w:sz w:val="20"/>
          <w:szCs w:val="20"/>
          <w:lang w:val="es-MX"/>
        </w:rPr>
        <w:t xml:space="preserve"> de carácter general, de obligatorio cumplimiento en todo el territorio nacional </w:t>
      </w:r>
      <w:r w:rsidR="003A36B2">
        <w:rPr>
          <w:rFonts w:ascii="Arial Narrow" w:hAnsi="Arial Narrow" w:cs="Calibri"/>
          <w:bCs/>
          <w:color w:val="000000"/>
          <w:sz w:val="20"/>
          <w:szCs w:val="20"/>
          <w:lang w:val="es-MX"/>
        </w:rPr>
        <w:t>y aplica dentro del trámite de propuestas de contrato de concesión minera y propuestas de contratos de concesión minera con requisitos diferenciales</w:t>
      </w:r>
      <w:r w:rsidR="00FF4B49">
        <w:rPr>
          <w:rFonts w:ascii="Arial Narrow" w:hAnsi="Arial Narrow" w:cs="Calibri"/>
          <w:bCs/>
          <w:color w:val="000000"/>
          <w:sz w:val="20"/>
          <w:szCs w:val="20"/>
          <w:lang w:val="es-MX"/>
        </w:rPr>
        <w:t xml:space="preserve">. </w:t>
      </w:r>
      <w:r>
        <w:rPr>
          <w:rFonts w:ascii="Arial Narrow" w:hAnsi="Arial Narrow" w:cs="Calibri"/>
          <w:bCs/>
          <w:color w:val="000000"/>
          <w:sz w:val="20"/>
          <w:szCs w:val="20"/>
          <w:lang w:val="es-MX"/>
        </w:rPr>
        <w:t xml:space="preserve"> </w:t>
      </w:r>
    </w:p>
    <w:p w14:paraId="54482215" w14:textId="77777777" w:rsidR="004865F6" w:rsidRPr="004865F6" w:rsidRDefault="004865F6" w:rsidP="004865F6">
      <w:pPr>
        <w:pStyle w:val="Cuadrculamedia1-nfasis21"/>
        <w:spacing w:after="0" w:line="240" w:lineRule="auto"/>
        <w:ind w:left="66" w:right="49"/>
        <w:rPr>
          <w:rFonts w:ascii="Arial Narrow" w:hAnsi="Arial Narrow" w:cs="Calibri"/>
          <w:bCs/>
          <w:color w:val="000000"/>
          <w:sz w:val="20"/>
          <w:szCs w:val="20"/>
          <w:lang w:val="es-MX"/>
        </w:rPr>
      </w:pPr>
    </w:p>
    <w:p w14:paraId="25D473D1" w14:textId="21444C23"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r w:rsidRPr="004865F6">
        <w:rPr>
          <w:rFonts w:ascii="Arial Narrow" w:hAnsi="Arial Narrow" w:cs="Calibri"/>
          <w:b/>
          <w:color w:val="000000"/>
          <w:sz w:val="20"/>
          <w:szCs w:val="20"/>
          <w:u w:val="single"/>
          <w:lang w:val="es-MX"/>
        </w:rPr>
        <w:t>Viabilidad jurídica</w:t>
      </w:r>
    </w:p>
    <w:p w14:paraId="25D473D2" w14:textId="77777777" w:rsidR="00900692" w:rsidRPr="004865F6" w:rsidRDefault="00900692" w:rsidP="004865F6">
      <w:pPr>
        <w:pStyle w:val="Bodytext41"/>
        <w:suppressAutoHyphens/>
        <w:spacing w:line="240" w:lineRule="auto"/>
        <w:ind w:left="380" w:right="49"/>
        <w:rPr>
          <w:rFonts w:ascii="Arial Narrow" w:hAnsi="Arial Narrow" w:cs="Calibri"/>
          <w:color w:val="000000"/>
          <w:sz w:val="20"/>
          <w:szCs w:val="20"/>
          <w:lang w:eastAsia="es-ES_tradnl"/>
        </w:rPr>
      </w:pPr>
    </w:p>
    <w:p w14:paraId="25D473D3" w14:textId="77777777" w:rsidR="00900692" w:rsidRPr="004865F6" w:rsidRDefault="00361057" w:rsidP="004865F6">
      <w:pPr>
        <w:pStyle w:val="Bodytext41"/>
        <w:numPr>
          <w:ilvl w:val="0"/>
          <w:numId w:val="4"/>
        </w:numPr>
        <w:spacing w:line="240" w:lineRule="auto"/>
        <w:jc w:val="both"/>
        <w:rPr>
          <w:rFonts w:ascii="Arial Narrow" w:hAnsi="Arial Narrow" w:cs="Calibri"/>
          <w:b/>
          <w:bCs/>
          <w:sz w:val="20"/>
          <w:szCs w:val="20"/>
          <w:lang w:eastAsia="es-ES_tradnl"/>
        </w:rPr>
      </w:pPr>
      <w:r w:rsidRPr="004865F6">
        <w:rPr>
          <w:rFonts w:ascii="Arial Narrow" w:hAnsi="Arial Narrow" w:cs="Calibri"/>
          <w:b/>
          <w:bCs/>
          <w:sz w:val="20"/>
          <w:szCs w:val="20"/>
          <w:lang w:eastAsia="es-ES_tradnl"/>
        </w:rPr>
        <w:t xml:space="preserve">Análisis de normas de competencia: </w:t>
      </w:r>
    </w:p>
    <w:p w14:paraId="25D473D4" w14:textId="77777777" w:rsidR="00900692" w:rsidRPr="004865F6" w:rsidRDefault="00900692" w:rsidP="004865F6">
      <w:pPr>
        <w:pStyle w:val="Bodytext41"/>
        <w:spacing w:line="240" w:lineRule="auto"/>
        <w:ind w:left="720"/>
        <w:jc w:val="both"/>
        <w:rPr>
          <w:rFonts w:ascii="Arial Narrow" w:hAnsi="Arial Narrow" w:cs="Calibri"/>
          <w:sz w:val="20"/>
          <w:szCs w:val="20"/>
          <w:lang w:eastAsia="es-ES_tradnl"/>
        </w:rPr>
      </w:pPr>
    </w:p>
    <w:p w14:paraId="25D473D5" w14:textId="2383E081" w:rsidR="00900692" w:rsidRDefault="00361057" w:rsidP="004865F6">
      <w:pPr>
        <w:pStyle w:val="Bodytext41"/>
        <w:spacing w:line="240" w:lineRule="auto"/>
        <w:jc w:val="both"/>
        <w:rPr>
          <w:rFonts w:ascii="Arial Narrow" w:eastAsia="Arial Unicode MS" w:hAnsi="Arial Narrow" w:cs="Calibri"/>
          <w:sz w:val="20"/>
          <w:szCs w:val="20"/>
          <w:lang w:val="es-ES" w:eastAsia="es-ES"/>
        </w:rPr>
      </w:pPr>
      <w:r w:rsidRPr="004865F6">
        <w:rPr>
          <w:rFonts w:ascii="Arial Narrow" w:eastAsia="Arial Unicode MS" w:hAnsi="Arial Narrow" w:cs="Calibri"/>
          <w:sz w:val="20"/>
          <w:szCs w:val="20"/>
          <w:lang w:val="es-ES" w:eastAsia="es-ES"/>
        </w:rPr>
        <w:lastRenderedPageBreak/>
        <w:t xml:space="preserve">Esta Resolución se ajusta al principio de legalidad y a las funciones de la Agencia Nacional de Minería, con el fin de </w:t>
      </w:r>
      <w:r w:rsidR="003A36B2">
        <w:rPr>
          <w:rFonts w:ascii="Arial Narrow" w:eastAsia="Arial Unicode MS" w:hAnsi="Arial Narrow" w:cs="Calibri"/>
          <w:sz w:val="20"/>
          <w:szCs w:val="20"/>
          <w:lang w:val="es-ES" w:eastAsia="es-ES"/>
        </w:rPr>
        <w:t>garantizar el derecho de participación ciudadana y de coordinación, concurrencia y subsidiariedad</w:t>
      </w:r>
      <w:r w:rsidRPr="004865F6">
        <w:rPr>
          <w:rFonts w:ascii="Arial Narrow" w:eastAsia="Arial Unicode MS" w:hAnsi="Arial Narrow" w:cs="Calibri"/>
          <w:sz w:val="20"/>
          <w:szCs w:val="20"/>
          <w:lang w:val="es-ES" w:eastAsia="es-ES"/>
        </w:rPr>
        <w:t xml:space="preserve">. </w:t>
      </w:r>
    </w:p>
    <w:p w14:paraId="281047F0" w14:textId="77777777" w:rsidR="003A36B2" w:rsidRDefault="003A36B2" w:rsidP="004865F6">
      <w:pPr>
        <w:pStyle w:val="Bodytext41"/>
        <w:spacing w:line="240" w:lineRule="auto"/>
        <w:jc w:val="both"/>
        <w:rPr>
          <w:rFonts w:ascii="Arial Narrow" w:eastAsia="Arial Unicode MS" w:hAnsi="Arial Narrow" w:cs="Calibri"/>
          <w:sz w:val="20"/>
          <w:szCs w:val="20"/>
          <w:lang w:val="es-ES" w:eastAsia="es-ES"/>
        </w:rPr>
      </w:pPr>
    </w:p>
    <w:p w14:paraId="2AB544BA" w14:textId="0BF82DDA" w:rsidR="003A36B2" w:rsidRDefault="00757713" w:rsidP="004865F6">
      <w:pPr>
        <w:pStyle w:val="Bodytext41"/>
        <w:spacing w:line="240" w:lineRule="auto"/>
        <w:jc w:val="both"/>
        <w:rPr>
          <w:rFonts w:ascii="Arial Narrow" w:hAnsi="Arial Narrow" w:cs="Calibri"/>
          <w:bCs/>
          <w:sz w:val="20"/>
          <w:szCs w:val="20"/>
          <w:lang w:eastAsia="es-CO"/>
        </w:rPr>
      </w:pPr>
      <w:r>
        <w:rPr>
          <w:rFonts w:ascii="Arial Narrow" w:hAnsi="Arial Narrow" w:cs="Calibri"/>
          <w:bCs/>
          <w:sz w:val="20"/>
          <w:szCs w:val="20"/>
          <w:lang w:eastAsia="es-CO"/>
        </w:rPr>
        <w:t>El acto administrativo junto con su procedimiento s</w:t>
      </w:r>
      <w:r w:rsidR="003A36B2">
        <w:rPr>
          <w:rFonts w:ascii="Arial Narrow" w:hAnsi="Arial Narrow" w:cs="Calibri"/>
          <w:bCs/>
          <w:sz w:val="20"/>
          <w:szCs w:val="20"/>
          <w:lang w:eastAsia="es-CO"/>
        </w:rPr>
        <w:t xml:space="preserve">e expide de conformidad con lo dispuesto por la Honorable Corte Constitucional en el Artículo Sexto de la </w:t>
      </w:r>
      <w:r w:rsidR="003A36B2" w:rsidRPr="003A36B2">
        <w:rPr>
          <w:rFonts w:ascii="Arial Narrow" w:hAnsi="Arial Narrow" w:cs="Calibri"/>
          <w:bCs/>
          <w:sz w:val="20"/>
          <w:szCs w:val="20"/>
          <w:lang w:eastAsia="es-CO"/>
        </w:rPr>
        <w:t>Sentencia de Unificación No. SU-095 de 2018,</w:t>
      </w:r>
      <w:r w:rsidR="003A36B2">
        <w:rPr>
          <w:rFonts w:ascii="Arial Narrow" w:hAnsi="Arial Narrow" w:cs="Calibri"/>
          <w:bCs/>
          <w:sz w:val="20"/>
          <w:szCs w:val="20"/>
          <w:lang w:eastAsia="es-CO"/>
        </w:rPr>
        <w:t xml:space="preserve"> que indica: </w:t>
      </w:r>
    </w:p>
    <w:p w14:paraId="0C4F83EE" w14:textId="77777777" w:rsidR="003A36B2" w:rsidRDefault="003A36B2" w:rsidP="004865F6">
      <w:pPr>
        <w:pStyle w:val="Bodytext41"/>
        <w:spacing w:line="240" w:lineRule="auto"/>
        <w:jc w:val="both"/>
        <w:rPr>
          <w:rFonts w:ascii="Arial Narrow" w:hAnsi="Arial Narrow" w:cs="Calibri"/>
          <w:bCs/>
          <w:sz w:val="20"/>
          <w:szCs w:val="20"/>
          <w:lang w:eastAsia="es-CO"/>
        </w:rPr>
      </w:pPr>
    </w:p>
    <w:p w14:paraId="46AC763A" w14:textId="02649174" w:rsidR="003A36B2" w:rsidRPr="00757713" w:rsidRDefault="003A36B2" w:rsidP="003A36B2">
      <w:pPr>
        <w:pStyle w:val="Bodytext41"/>
        <w:spacing w:line="240" w:lineRule="auto"/>
        <w:ind w:left="567" w:right="616"/>
        <w:jc w:val="both"/>
        <w:rPr>
          <w:rFonts w:ascii="Arial Narrow" w:hAnsi="Arial Narrow"/>
          <w:sz w:val="20"/>
          <w:szCs w:val="20"/>
        </w:rPr>
      </w:pPr>
      <w:r>
        <w:rPr>
          <w:rFonts w:ascii="Arial Narrow" w:hAnsi="Arial Narrow" w:cs="Calibri"/>
          <w:bCs/>
          <w:i/>
          <w:iCs/>
          <w:sz w:val="20"/>
          <w:szCs w:val="20"/>
          <w:lang w:eastAsia="es-CO"/>
        </w:rPr>
        <w:t>“</w:t>
      </w:r>
      <w:r w:rsidRPr="003A36B2">
        <w:rPr>
          <w:rFonts w:ascii="Arial Narrow" w:hAnsi="Arial Narrow" w:cs="Calibri"/>
          <w:bCs/>
          <w:i/>
          <w:iCs/>
          <w:sz w:val="20"/>
          <w:szCs w:val="20"/>
          <w:lang w:eastAsia="es-CO"/>
        </w:rPr>
        <w:t xml:space="preserve">SEXTO.- ORDENAR al Ministerio de Minas y Energía, a la Agencia Nacional de Hidrocarburos y a la Agencia Nacional de Minería </w:t>
      </w:r>
      <w:r w:rsidRPr="00757713">
        <w:rPr>
          <w:rFonts w:ascii="Arial Narrow" w:hAnsi="Arial Narrow" w:cs="Calibri"/>
          <w:bCs/>
          <w:i/>
          <w:iCs/>
          <w:sz w:val="20"/>
          <w:szCs w:val="20"/>
          <w:u w:val="single"/>
          <w:lang w:eastAsia="es-CO"/>
        </w:rPr>
        <w:t>mantengan y fortalezcan</w:t>
      </w:r>
      <w:r w:rsidRPr="003A36B2">
        <w:rPr>
          <w:rFonts w:ascii="Arial Narrow" w:hAnsi="Arial Narrow" w:cs="Calibri"/>
          <w:bCs/>
          <w:i/>
          <w:iCs/>
          <w:sz w:val="20"/>
          <w:szCs w:val="20"/>
          <w:lang w:eastAsia="es-CO"/>
        </w:rPr>
        <w:t>, de acuerdo con los criterios de esta providencia, programas y proyectos que fortalezcan el diálogo, la comunicación y la información con las entidades territoriales y sus autoridades locales con el fin de aplicar principios de coordinación y concurrencia e información suficiente</w:t>
      </w:r>
      <w:r>
        <w:rPr>
          <w:rFonts w:ascii="Arial Narrow" w:hAnsi="Arial Narrow" w:cs="Calibri"/>
          <w:bCs/>
          <w:i/>
          <w:iCs/>
          <w:sz w:val="20"/>
          <w:szCs w:val="20"/>
          <w:lang w:eastAsia="es-CO"/>
        </w:rPr>
        <w:t>”.</w:t>
      </w:r>
      <w:r w:rsidR="00757713">
        <w:rPr>
          <w:rFonts w:ascii="Arial Narrow" w:hAnsi="Arial Narrow" w:cs="Calibri"/>
          <w:bCs/>
          <w:i/>
          <w:iCs/>
          <w:sz w:val="20"/>
          <w:szCs w:val="20"/>
          <w:lang w:eastAsia="es-CO"/>
        </w:rPr>
        <w:t xml:space="preserve"> </w:t>
      </w:r>
      <w:r w:rsidR="00757713">
        <w:rPr>
          <w:rFonts w:ascii="Arial Narrow" w:hAnsi="Arial Narrow" w:cs="Calibri"/>
          <w:bCs/>
          <w:sz w:val="20"/>
          <w:szCs w:val="20"/>
          <w:lang w:eastAsia="es-CO"/>
        </w:rPr>
        <w:t>(Subrayado fuera de texto).</w:t>
      </w:r>
    </w:p>
    <w:p w14:paraId="46A5915A" w14:textId="77777777" w:rsidR="00757713" w:rsidRDefault="00757713" w:rsidP="00757713">
      <w:pPr>
        <w:pStyle w:val="Bodytext41"/>
        <w:suppressAutoHyphens/>
        <w:spacing w:line="240" w:lineRule="auto"/>
        <w:ind w:left="-142"/>
        <w:jc w:val="both"/>
        <w:rPr>
          <w:rFonts w:ascii="Arial Narrow" w:hAnsi="Arial Narrow" w:cs="Calibri"/>
          <w:sz w:val="20"/>
          <w:szCs w:val="20"/>
          <w:lang w:eastAsia="es-ES_tradnl"/>
        </w:rPr>
      </w:pPr>
    </w:p>
    <w:p w14:paraId="037A827C" w14:textId="305A7E3F" w:rsidR="00757713" w:rsidRDefault="00757713" w:rsidP="00757713">
      <w:pPr>
        <w:pStyle w:val="Bodytext41"/>
        <w:suppressAutoHyphens/>
        <w:spacing w:line="240" w:lineRule="auto"/>
        <w:ind w:left="-142"/>
        <w:jc w:val="both"/>
        <w:rPr>
          <w:rFonts w:ascii="Arial Narrow" w:hAnsi="Arial Narrow" w:cs="Calibri"/>
          <w:sz w:val="20"/>
          <w:szCs w:val="20"/>
          <w:lang w:eastAsia="es-ES_tradnl"/>
        </w:rPr>
      </w:pPr>
      <w:r>
        <w:rPr>
          <w:rFonts w:ascii="Arial Narrow" w:hAnsi="Arial Narrow" w:cs="Calibri"/>
          <w:sz w:val="20"/>
          <w:szCs w:val="20"/>
          <w:lang w:eastAsia="es-ES_tradnl"/>
        </w:rPr>
        <w:t xml:space="preserve">Su competencia radica en </w:t>
      </w:r>
      <w:r w:rsidRPr="00757713">
        <w:rPr>
          <w:rFonts w:ascii="Arial Narrow" w:hAnsi="Arial Narrow" w:cs="Calibri"/>
          <w:sz w:val="20"/>
          <w:szCs w:val="20"/>
          <w:lang w:eastAsia="es-ES_tradnl"/>
        </w:rPr>
        <w:t xml:space="preserve">el Decreto Ley 4134 de 2011, modificado por el Decreto No. 1681 de 2020, </w:t>
      </w:r>
      <w:r>
        <w:rPr>
          <w:rFonts w:ascii="Arial Narrow" w:hAnsi="Arial Narrow" w:cs="Calibri"/>
          <w:sz w:val="20"/>
          <w:szCs w:val="20"/>
          <w:lang w:eastAsia="es-ES_tradnl"/>
        </w:rPr>
        <w:t>que crea la Agencia Nacional de Minería</w:t>
      </w:r>
      <w:r w:rsidRPr="00757713">
        <w:rPr>
          <w:rFonts w:ascii="Arial Narrow" w:hAnsi="Arial Narrow" w:cs="Calibri"/>
          <w:sz w:val="20"/>
          <w:szCs w:val="20"/>
          <w:lang w:eastAsia="es-ES_tradnl"/>
        </w:rPr>
        <w:t xml:space="preserve"> con el objeto de administrar integralmente los recursos minerales de propiedad del Estado, promover el aprovechamiento óptimo y sostenible de los recursos mineros de conformidad con las normas pertinentes.</w:t>
      </w:r>
    </w:p>
    <w:p w14:paraId="04A67C00" w14:textId="77777777" w:rsidR="00757713" w:rsidRDefault="00757713" w:rsidP="00757713">
      <w:pPr>
        <w:pStyle w:val="Bodytext41"/>
        <w:suppressAutoHyphens/>
        <w:spacing w:line="240" w:lineRule="auto"/>
        <w:ind w:left="-142"/>
        <w:jc w:val="both"/>
        <w:rPr>
          <w:rFonts w:ascii="Arial Narrow" w:hAnsi="Arial Narrow" w:cs="Calibri"/>
          <w:sz w:val="20"/>
          <w:szCs w:val="20"/>
          <w:lang w:eastAsia="es-ES_tradnl"/>
        </w:rPr>
      </w:pPr>
    </w:p>
    <w:p w14:paraId="0D03E899" w14:textId="77777777" w:rsidR="00757713" w:rsidRDefault="00757713" w:rsidP="00757713">
      <w:pPr>
        <w:pStyle w:val="Bodytext41"/>
        <w:suppressAutoHyphens/>
        <w:ind w:left="-142"/>
        <w:jc w:val="both"/>
        <w:rPr>
          <w:rFonts w:ascii="Arial Narrow" w:hAnsi="Arial Narrow" w:cs="Calibri"/>
          <w:sz w:val="20"/>
          <w:szCs w:val="20"/>
          <w:lang w:eastAsia="es-ES_tradnl"/>
        </w:rPr>
      </w:pPr>
      <w:r>
        <w:rPr>
          <w:rFonts w:ascii="Arial Narrow" w:hAnsi="Arial Narrow" w:cs="Calibri"/>
          <w:sz w:val="20"/>
          <w:szCs w:val="20"/>
          <w:lang w:eastAsia="es-ES_tradnl"/>
        </w:rPr>
        <w:t xml:space="preserve">Adicionalmente se fundamenta en lo dispuesto en </w:t>
      </w:r>
      <w:r w:rsidRPr="00757713">
        <w:rPr>
          <w:rFonts w:ascii="Arial Narrow" w:hAnsi="Arial Narrow" w:cs="Calibri"/>
          <w:sz w:val="20"/>
          <w:szCs w:val="20"/>
          <w:lang w:eastAsia="es-ES_tradnl"/>
        </w:rPr>
        <w:t>el artículo 288 de la Constitución Política</w:t>
      </w:r>
      <w:r>
        <w:rPr>
          <w:rFonts w:ascii="Arial Narrow" w:hAnsi="Arial Narrow" w:cs="Calibri"/>
          <w:sz w:val="20"/>
          <w:szCs w:val="20"/>
          <w:lang w:eastAsia="es-ES_tradnl"/>
        </w:rPr>
        <w:t xml:space="preserve"> que</w:t>
      </w:r>
      <w:r w:rsidRPr="00757713">
        <w:rPr>
          <w:rFonts w:ascii="Arial Narrow" w:hAnsi="Arial Narrow" w:cs="Calibri"/>
          <w:sz w:val="20"/>
          <w:szCs w:val="20"/>
          <w:lang w:eastAsia="es-ES_tradnl"/>
        </w:rPr>
        <w:t xml:space="preserve"> prevé que las competencias atribuidas a los distintos niveles territoriales serán ejercidas conforme a los principios de coordinación, concurrencia y subsidiariedad en los términos que establezca la ley.</w:t>
      </w:r>
    </w:p>
    <w:p w14:paraId="71C7270F" w14:textId="77777777" w:rsidR="00757713" w:rsidRDefault="00757713" w:rsidP="00757713">
      <w:pPr>
        <w:pStyle w:val="Bodytext41"/>
        <w:suppressAutoHyphens/>
        <w:ind w:left="-142"/>
        <w:jc w:val="both"/>
        <w:rPr>
          <w:rFonts w:ascii="Arial Narrow" w:hAnsi="Arial Narrow" w:cs="Calibri"/>
          <w:sz w:val="20"/>
          <w:szCs w:val="20"/>
          <w:lang w:eastAsia="es-ES_tradnl"/>
        </w:rPr>
      </w:pPr>
    </w:p>
    <w:p w14:paraId="0B55DCC8" w14:textId="4434B2A8" w:rsidR="00757713" w:rsidRPr="00757713" w:rsidRDefault="00757713" w:rsidP="00757713">
      <w:pPr>
        <w:pStyle w:val="Bodytext41"/>
        <w:suppressAutoHyphens/>
        <w:ind w:left="-142"/>
        <w:jc w:val="both"/>
        <w:rPr>
          <w:rFonts w:ascii="Arial Narrow" w:hAnsi="Arial Narrow" w:cs="Calibri"/>
          <w:sz w:val="20"/>
          <w:szCs w:val="20"/>
          <w:lang w:eastAsia="es-ES_tradnl"/>
        </w:rPr>
      </w:pPr>
      <w:r>
        <w:rPr>
          <w:rFonts w:ascii="Arial Narrow" w:hAnsi="Arial Narrow" w:cs="Calibri"/>
          <w:sz w:val="20"/>
          <w:szCs w:val="20"/>
          <w:lang w:eastAsia="es-ES_tradnl"/>
        </w:rPr>
        <w:t>De otro lado</w:t>
      </w:r>
      <w:r w:rsidRPr="00757713">
        <w:rPr>
          <w:rFonts w:ascii="Arial Narrow" w:hAnsi="Arial Narrow" w:cs="Calibri"/>
          <w:sz w:val="20"/>
          <w:szCs w:val="20"/>
          <w:lang w:eastAsia="es-ES_tradnl"/>
        </w:rPr>
        <w:t>,</w:t>
      </w:r>
      <w:r>
        <w:rPr>
          <w:rFonts w:ascii="Arial Narrow" w:hAnsi="Arial Narrow" w:cs="Calibri"/>
          <w:sz w:val="20"/>
          <w:szCs w:val="20"/>
          <w:lang w:eastAsia="es-ES_tradnl"/>
        </w:rPr>
        <w:t xml:space="preserve"> se fundamenta en</w:t>
      </w:r>
      <w:r w:rsidRPr="00757713">
        <w:rPr>
          <w:rFonts w:ascii="Arial Narrow" w:hAnsi="Arial Narrow" w:cs="Calibri"/>
          <w:sz w:val="20"/>
          <w:szCs w:val="20"/>
          <w:lang w:eastAsia="es-ES_tradnl"/>
        </w:rPr>
        <w:t xml:space="preserve"> el artículo 259 de la Ley 685 de 2001, </w:t>
      </w:r>
      <w:r>
        <w:rPr>
          <w:rFonts w:ascii="Arial Narrow" w:hAnsi="Arial Narrow" w:cs="Calibri"/>
          <w:sz w:val="20"/>
          <w:szCs w:val="20"/>
          <w:lang w:eastAsia="es-ES_tradnl"/>
        </w:rPr>
        <w:t xml:space="preserve">que </w:t>
      </w:r>
      <w:r w:rsidRPr="00757713">
        <w:rPr>
          <w:rFonts w:ascii="Arial Narrow" w:hAnsi="Arial Narrow" w:cs="Calibri"/>
          <w:sz w:val="20"/>
          <w:szCs w:val="20"/>
          <w:lang w:eastAsia="es-ES_tradnl"/>
        </w:rPr>
        <w:t>señala que en los casos en que dentro del procedimiento que antecede al contrato de concesión deba oírse previamente a terceros, a representantes de las comunidades y a grupos o estamentos sociales, se buscará que estos reciban real y efectivamente, por los medios apropiados o comunicación de comparecencia dentro de los términos señalados en la Ley, toda la información necesaria</w:t>
      </w:r>
    </w:p>
    <w:p w14:paraId="18F37268" w14:textId="77777777" w:rsidR="00757713" w:rsidRPr="00757713" w:rsidRDefault="00757713" w:rsidP="00757713">
      <w:pPr>
        <w:pStyle w:val="Bodytext41"/>
        <w:suppressAutoHyphens/>
        <w:ind w:left="-142"/>
        <w:jc w:val="both"/>
        <w:rPr>
          <w:rFonts w:ascii="Arial Narrow" w:hAnsi="Arial Narrow" w:cs="Calibri"/>
          <w:sz w:val="20"/>
          <w:szCs w:val="20"/>
          <w:lang w:eastAsia="es-ES_tradnl"/>
        </w:rPr>
      </w:pPr>
    </w:p>
    <w:p w14:paraId="3CA960F7" w14:textId="77777777" w:rsidR="00757713" w:rsidRPr="004865F6" w:rsidRDefault="00757713" w:rsidP="00757713">
      <w:pPr>
        <w:pStyle w:val="Bodytext41"/>
        <w:suppressAutoHyphens/>
        <w:spacing w:line="240" w:lineRule="auto"/>
        <w:ind w:left="-142"/>
        <w:jc w:val="both"/>
        <w:rPr>
          <w:rFonts w:ascii="Arial Narrow" w:hAnsi="Arial Narrow" w:cs="Calibri"/>
          <w:sz w:val="20"/>
          <w:szCs w:val="20"/>
          <w:lang w:eastAsia="es-ES_tradnl"/>
        </w:rPr>
      </w:pPr>
    </w:p>
    <w:p w14:paraId="25D473D7" w14:textId="5C0B29F5" w:rsidR="00900692" w:rsidRPr="004865F6" w:rsidRDefault="00361057" w:rsidP="004865F6">
      <w:pPr>
        <w:pStyle w:val="Bodytext41"/>
        <w:numPr>
          <w:ilvl w:val="0"/>
          <w:numId w:val="4"/>
        </w:numPr>
        <w:spacing w:line="240" w:lineRule="auto"/>
        <w:jc w:val="both"/>
        <w:rPr>
          <w:rFonts w:ascii="Arial Narrow" w:hAnsi="Arial Narrow" w:cs="Calibri"/>
          <w:b/>
          <w:bCs/>
          <w:sz w:val="20"/>
          <w:szCs w:val="20"/>
          <w:lang w:eastAsia="es-ES_tradnl"/>
        </w:rPr>
      </w:pPr>
      <w:r w:rsidRPr="004865F6">
        <w:rPr>
          <w:rFonts w:ascii="Arial Narrow" w:hAnsi="Arial Narrow" w:cs="Calibri"/>
          <w:b/>
          <w:bCs/>
          <w:sz w:val="20"/>
          <w:szCs w:val="20"/>
          <w:lang w:eastAsia="es-ES_tradnl"/>
        </w:rPr>
        <w:t>Análisis de normas que desarrolla y/o modifica:</w:t>
      </w:r>
    </w:p>
    <w:p w14:paraId="25D473D8" w14:textId="77777777" w:rsidR="00900692" w:rsidRPr="004865F6" w:rsidRDefault="00900692" w:rsidP="004865F6">
      <w:pPr>
        <w:pStyle w:val="Bodytext41"/>
        <w:suppressAutoHyphens/>
        <w:spacing w:line="240" w:lineRule="auto"/>
        <w:ind w:left="380" w:right="49"/>
        <w:rPr>
          <w:rFonts w:ascii="Arial Narrow" w:hAnsi="Arial Narrow" w:cs="Calibri"/>
          <w:color w:val="000000"/>
          <w:sz w:val="20"/>
          <w:szCs w:val="20"/>
          <w:lang w:eastAsia="es-ES_tradnl"/>
        </w:rPr>
      </w:pPr>
    </w:p>
    <w:p w14:paraId="25D473DA" w14:textId="1AA9F109" w:rsidR="00900692" w:rsidRPr="00757713" w:rsidRDefault="00757713" w:rsidP="004865F6">
      <w:pPr>
        <w:ind w:left="20" w:right="49"/>
        <w:jc w:val="both"/>
        <w:rPr>
          <w:rFonts w:ascii="Arial Narrow" w:hAnsi="Arial Narrow" w:cs="Calibri"/>
          <w:sz w:val="20"/>
          <w:szCs w:val="20"/>
          <w:lang w:eastAsia="es-ES_tradnl"/>
        </w:rPr>
      </w:pPr>
      <w:r w:rsidRPr="00757713">
        <w:rPr>
          <w:rFonts w:ascii="Arial Narrow" w:hAnsi="Arial Narrow" w:cs="Calibri"/>
          <w:sz w:val="20"/>
          <w:szCs w:val="20"/>
          <w:lang w:eastAsia="es-ES_tradnl"/>
        </w:rPr>
        <w:t xml:space="preserve">Con la expedición de la Resolución </w:t>
      </w:r>
      <w:r w:rsidR="00571B6C" w:rsidRPr="00571B6C">
        <w:rPr>
          <w:rFonts w:ascii="Arial Narrow" w:hAnsi="Arial Narrow" w:cs="Calibri"/>
          <w:i/>
          <w:iCs/>
          <w:sz w:val="20"/>
          <w:szCs w:val="20"/>
          <w:lang w:eastAsia="es-ES_tradnl"/>
        </w:rPr>
        <w:t>“Por medio de la cual se adopta el procedimiento de relacionamiento con el territorio para otorgamiento de títulos mineros</w:t>
      </w:r>
      <w:r w:rsidRPr="00757713">
        <w:rPr>
          <w:rFonts w:ascii="Arial Narrow" w:hAnsi="Arial Narrow" w:cs="Calibri"/>
          <w:sz w:val="20"/>
          <w:szCs w:val="20"/>
          <w:lang w:eastAsia="es-ES_tradnl"/>
        </w:rPr>
        <w:t>”</w:t>
      </w:r>
      <w:r w:rsidR="00571B6C">
        <w:rPr>
          <w:rFonts w:ascii="Arial Narrow" w:hAnsi="Arial Narrow" w:cs="Calibri"/>
          <w:sz w:val="20"/>
          <w:szCs w:val="20"/>
          <w:lang w:eastAsia="es-ES_tradnl"/>
        </w:rPr>
        <w:t>, s</w:t>
      </w:r>
      <w:r w:rsidRPr="00757713">
        <w:rPr>
          <w:rFonts w:ascii="Arial Narrow" w:hAnsi="Arial Narrow" w:cs="Calibri"/>
          <w:sz w:val="20"/>
          <w:szCs w:val="20"/>
          <w:lang w:eastAsia="es-ES_tradnl"/>
        </w:rPr>
        <w:t xml:space="preserve">e materializa </w:t>
      </w:r>
      <w:r w:rsidR="00571B6C" w:rsidRPr="00571B6C">
        <w:rPr>
          <w:rFonts w:ascii="Arial Narrow" w:hAnsi="Arial Narrow" w:cs="Calibri"/>
          <w:sz w:val="20"/>
          <w:szCs w:val="20"/>
          <w:lang w:eastAsia="es-ES_tradnl"/>
        </w:rPr>
        <w:t xml:space="preserve">lo dispuesto por la Honorable Corte Constitucional en el </w:t>
      </w:r>
      <w:r w:rsidR="00741F9A">
        <w:rPr>
          <w:rFonts w:ascii="Arial Narrow" w:hAnsi="Arial Narrow" w:cs="Calibri"/>
          <w:sz w:val="20"/>
          <w:szCs w:val="20"/>
          <w:lang w:eastAsia="es-ES_tradnl"/>
        </w:rPr>
        <w:t xml:space="preserve">numeral </w:t>
      </w:r>
      <w:r w:rsidR="00571B6C" w:rsidRPr="00571B6C">
        <w:rPr>
          <w:rFonts w:ascii="Arial Narrow" w:hAnsi="Arial Narrow" w:cs="Calibri"/>
          <w:sz w:val="20"/>
          <w:szCs w:val="20"/>
          <w:lang w:eastAsia="es-ES_tradnl"/>
        </w:rPr>
        <w:t>Sexto de</w:t>
      </w:r>
      <w:r w:rsidR="00630936">
        <w:rPr>
          <w:rFonts w:ascii="Arial Narrow" w:hAnsi="Arial Narrow" w:cs="Calibri"/>
          <w:sz w:val="20"/>
          <w:szCs w:val="20"/>
          <w:lang w:eastAsia="es-ES_tradnl"/>
        </w:rPr>
        <w:t xml:space="preserve"> la parte resolutiva de</w:t>
      </w:r>
      <w:r w:rsidR="00571B6C" w:rsidRPr="00571B6C">
        <w:rPr>
          <w:rFonts w:ascii="Arial Narrow" w:hAnsi="Arial Narrow" w:cs="Calibri"/>
          <w:sz w:val="20"/>
          <w:szCs w:val="20"/>
          <w:lang w:eastAsia="es-ES_tradnl"/>
        </w:rPr>
        <w:t xml:space="preserve"> la Sentencia de Unificación No. SU-095 de 2018</w:t>
      </w:r>
      <w:r w:rsidRPr="00757713">
        <w:rPr>
          <w:rFonts w:ascii="Arial Narrow" w:hAnsi="Arial Narrow" w:cs="Calibri"/>
          <w:sz w:val="20"/>
          <w:szCs w:val="20"/>
          <w:lang w:eastAsia="es-ES_tradnl"/>
        </w:rPr>
        <w:t>, para el otorgamiento del contrato de concesión, así como lo establecido en la Constitución Política en sus artículos 2</w:t>
      </w:r>
      <w:r w:rsidR="00571B6C">
        <w:rPr>
          <w:rFonts w:ascii="Arial Narrow" w:hAnsi="Arial Narrow" w:cs="Calibri"/>
          <w:sz w:val="20"/>
          <w:szCs w:val="20"/>
          <w:lang w:eastAsia="es-ES_tradnl"/>
        </w:rPr>
        <w:t>70 y 288</w:t>
      </w:r>
      <w:r w:rsidRPr="00757713">
        <w:rPr>
          <w:rFonts w:ascii="Arial Narrow" w:hAnsi="Arial Narrow" w:cs="Calibri"/>
          <w:sz w:val="20"/>
          <w:szCs w:val="20"/>
          <w:lang w:eastAsia="es-ES_tradnl"/>
        </w:rPr>
        <w:t xml:space="preserve">, así como en </w:t>
      </w:r>
      <w:r w:rsidR="00571B6C">
        <w:rPr>
          <w:rFonts w:ascii="Arial Narrow" w:hAnsi="Arial Narrow" w:cs="Calibri"/>
          <w:sz w:val="20"/>
          <w:szCs w:val="20"/>
          <w:lang w:eastAsia="es-ES_tradnl"/>
        </w:rPr>
        <w:t>el</w:t>
      </w:r>
      <w:r w:rsidRPr="00757713">
        <w:rPr>
          <w:rFonts w:ascii="Arial Narrow" w:hAnsi="Arial Narrow" w:cs="Calibri"/>
          <w:sz w:val="20"/>
          <w:szCs w:val="20"/>
          <w:lang w:eastAsia="es-ES_tradnl"/>
        </w:rPr>
        <w:t xml:space="preserve"> artículo </w:t>
      </w:r>
      <w:r w:rsidR="00571B6C">
        <w:rPr>
          <w:rFonts w:ascii="Arial Narrow" w:hAnsi="Arial Narrow" w:cs="Calibri"/>
          <w:sz w:val="20"/>
          <w:szCs w:val="20"/>
          <w:lang w:eastAsia="es-ES_tradnl"/>
        </w:rPr>
        <w:t>259</w:t>
      </w:r>
      <w:r w:rsidRPr="00757713">
        <w:rPr>
          <w:rFonts w:ascii="Arial Narrow" w:hAnsi="Arial Narrow" w:cs="Calibri"/>
          <w:sz w:val="20"/>
          <w:szCs w:val="20"/>
          <w:lang w:eastAsia="es-ES_tradnl"/>
        </w:rPr>
        <w:t xml:space="preserve"> de la Ley 685 de 2001, </w:t>
      </w:r>
      <w:r w:rsidR="00571B6C">
        <w:rPr>
          <w:rFonts w:ascii="Arial Narrow" w:hAnsi="Arial Narrow" w:cs="Calibri"/>
          <w:sz w:val="20"/>
          <w:szCs w:val="20"/>
          <w:lang w:eastAsia="es-ES_tradnl"/>
        </w:rPr>
        <w:t xml:space="preserve">y el </w:t>
      </w:r>
      <w:r w:rsidRPr="00757713">
        <w:rPr>
          <w:rFonts w:ascii="Arial Narrow" w:hAnsi="Arial Narrow" w:cs="Calibri"/>
          <w:sz w:val="20"/>
          <w:szCs w:val="20"/>
          <w:lang w:eastAsia="es-ES_tradnl"/>
        </w:rPr>
        <w:t>Decreto-Ley 4134 de 2011.</w:t>
      </w:r>
    </w:p>
    <w:p w14:paraId="668EB86A" w14:textId="77777777" w:rsidR="00757713" w:rsidRPr="004865F6" w:rsidRDefault="00757713" w:rsidP="004865F6">
      <w:pPr>
        <w:ind w:left="20" w:right="49"/>
        <w:jc w:val="both"/>
        <w:rPr>
          <w:rFonts w:ascii="Arial Narrow" w:hAnsi="Arial Narrow" w:cs="Calibri"/>
          <w:i/>
          <w:iCs/>
          <w:color w:val="000000"/>
          <w:sz w:val="20"/>
          <w:szCs w:val="20"/>
        </w:rPr>
      </w:pPr>
    </w:p>
    <w:p w14:paraId="25D473DB"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0" w:name="bookmark1"/>
      <w:r w:rsidRPr="004865F6">
        <w:rPr>
          <w:rFonts w:ascii="Arial Narrow" w:hAnsi="Arial Narrow" w:cs="Calibri"/>
          <w:b/>
          <w:color w:val="000000"/>
          <w:sz w:val="20"/>
          <w:szCs w:val="20"/>
          <w:u w:val="single"/>
          <w:lang w:val="es-MX"/>
        </w:rPr>
        <w:t>Impacto económico</w:t>
      </w:r>
      <w:bookmarkEnd w:id="0"/>
      <w:r w:rsidRPr="004865F6">
        <w:rPr>
          <w:rFonts w:ascii="Arial Narrow" w:hAnsi="Arial Narrow" w:cs="Calibri"/>
          <w:b/>
          <w:color w:val="000000"/>
          <w:sz w:val="20"/>
          <w:szCs w:val="20"/>
          <w:u w:val="single"/>
          <w:lang w:val="es-MX"/>
        </w:rPr>
        <w:t xml:space="preserve"> (indicar el costo o ahorro, de la implementación del respectivo acto)</w:t>
      </w:r>
    </w:p>
    <w:p w14:paraId="25D473DC" w14:textId="77777777" w:rsidR="00900692" w:rsidRPr="004865F6" w:rsidRDefault="00900692" w:rsidP="004865F6">
      <w:pPr>
        <w:ind w:right="49"/>
        <w:jc w:val="both"/>
        <w:rPr>
          <w:rFonts w:ascii="Arial Narrow" w:eastAsia="Arial Unicode MS" w:hAnsi="Arial Narrow" w:cs="Calibri"/>
          <w:color w:val="000000"/>
          <w:sz w:val="20"/>
          <w:szCs w:val="20"/>
          <w:lang w:eastAsia="es-ES"/>
        </w:rPr>
      </w:pPr>
    </w:p>
    <w:p w14:paraId="25D473DD" w14:textId="4D5D71D4" w:rsidR="00900692" w:rsidRPr="004865F6" w:rsidRDefault="00361057" w:rsidP="004865F6">
      <w:pPr>
        <w:ind w:right="49"/>
        <w:jc w:val="both"/>
        <w:rPr>
          <w:rFonts w:ascii="Arial Narrow" w:eastAsia="Arial Unicode MS" w:hAnsi="Arial Narrow" w:cs="Calibri"/>
          <w:color w:val="000000"/>
          <w:sz w:val="20"/>
          <w:szCs w:val="20"/>
          <w:lang w:eastAsia="es-ES"/>
        </w:rPr>
      </w:pPr>
      <w:r w:rsidRPr="004865F6">
        <w:rPr>
          <w:rFonts w:ascii="Arial Narrow" w:eastAsia="Arial Unicode MS" w:hAnsi="Arial Narrow" w:cs="Calibri"/>
          <w:color w:val="000000"/>
          <w:sz w:val="20"/>
          <w:szCs w:val="20"/>
          <w:lang w:eastAsia="es-ES"/>
        </w:rPr>
        <w:t>La implementación de la presente resolución no implicará costo alguno, pues no se requiere la adquisición de bienes y/o servicios para su adopción</w:t>
      </w:r>
      <w:r w:rsidR="00757713">
        <w:rPr>
          <w:rFonts w:ascii="Arial Narrow" w:eastAsia="Arial Unicode MS" w:hAnsi="Arial Narrow" w:cs="Calibri"/>
          <w:color w:val="000000"/>
          <w:sz w:val="20"/>
          <w:szCs w:val="20"/>
          <w:lang w:eastAsia="es-ES"/>
        </w:rPr>
        <w:t>.</w:t>
      </w:r>
    </w:p>
    <w:p w14:paraId="25D473DE" w14:textId="77777777" w:rsidR="00900692" w:rsidRPr="004865F6" w:rsidRDefault="00900692" w:rsidP="004865F6">
      <w:pPr>
        <w:ind w:right="49"/>
        <w:jc w:val="both"/>
        <w:rPr>
          <w:rFonts w:ascii="Arial Narrow" w:eastAsia="Arial Unicode MS" w:hAnsi="Arial Narrow" w:cs="Calibri"/>
          <w:color w:val="000000"/>
          <w:sz w:val="20"/>
          <w:szCs w:val="20"/>
          <w:lang w:eastAsia="es-ES"/>
        </w:rPr>
      </w:pPr>
    </w:p>
    <w:p w14:paraId="25D473DF" w14:textId="77777777" w:rsidR="00900692" w:rsidRPr="004865F6" w:rsidRDefault="00361057" w:rsidP="004865F6">
      <w:pPr>
        <w:ind w:right="49"/>
        <w:jc w:val="both"/>
        <w:rPr>
          <w:rFonts w:ascii="Arial Narrow" w:hAnsi="Arial Narrow"/>
          <w:sz w:val="20"/>
          <w:szCs w:val="20"/>
        </w:rPr>
      </w:pPr>
      <w:bookmarkStart w:id="1" w:name="bookmark2"/>
      <w:r w:rsidRPr="004865F6">
        <w:rPr>
          <w:rFonts w:ascii="Arial Narrow" w:hAnsi="Arial Narrow" w:cs="Calibri"/>
          <w:b/>
          <w:color w:val="000000"/>
          <w:sz w:val="20"/>
          <w:szCs w:val="20"/>
          <w:u w:val="single"/>
          <w:lang w:eastAsia="es-ES_tradnl"/>
        </w:rPr>
        <w:t>Disponibilidad presupuestal</w:t>
      </w:r>
      <w:bookmarkEnd w:id="1"/>
      <w:r w:rsidRPr="004865F6">
        <w:rPr>
          <w:rFonts w:ascii="Arial Narrow" w:hAnsi="Arial Narrow" w:cs="Calibri"/>
          <w:b/>
          <w:color w:val="000000"/>
          <w:sz w:val="20"/>
          <w:szCs w:val="20"/>
          <w:lang w:eastAsia="es-ES_tradnl"/>
        </w:rPr>
        <w:t>:</w:t>
      </w:r>
    </w:p>
    <w:p w14:paraId="25D473E0" w14:textId="77777777" w:rsidR="00900692" w:rsidRPr="004865F6" w:rsidRDefault="00900692" w:rsidP="004865F6">
      <w:pPr>
        <w:ind w:right="49"/>
        <w:jc w:val="both"/>
        <w:rPr>
          <w:rFonts w:ascii="Arial Narrow" w:eastAsia="Arial Unicode MS" w:hAnsi="Arial Narrow" w:cs="Calibri"/>
          <w:color w:val="000000"/>
          <w:sz w:val="20"/>
          <w:szCs w:val="20"/>
          <w:lang w:val="es-ES" w:eastAsia="es-ES"/>
        </w:rPr>
      </w:pPr>
    </w:p>
    <w:p w14:paraId="25D473E1" w14:textId="77777777" w:rsidR="00900692" w:rsidRPr="004865F6" w:rsidRDefault="00361057" w:rsidP="004865F6">
      <w:pPr>
        <w:ind w:right="49"/>
        <w:jc w:val="both"/>
        <w:rPr>
          <w:rFonts w:ascii="Arial Narrow" w:eastAsia="Arial Unicode MS" w:hAnsi="Arial Narrow" w:cs="Calibri"/>
          <w:color w:val="000000"/>
          <w:sz w:val="20"/>
          <w:szCs w:val="20"/>
          <w:lang w:val="es-ES" w:eastAsia="es-ES"/>
        </w:rPr>
      </w:pPr>
      <w:r w:rsidRPr="004865F6">
        <w:rPr>
          <w:rFonts w:ascii="Arial Narrow" w:eastAsia="Arial Unicode MS" w:hAnsi="Arial Narrow" w:cs="Calibri"/>
          <w:color w:val="000000"/>
          <w:sz w:val="20"/>
          <w:szCs w:val="20"/>
          <w:lang w:val="es-ES" w:eastAsia="es-ES"/>
        </w:rPr>
        <w:t>Para la aplicación del acto administrativo en trámite, no se requiere apropiación presupuestal.</w:t>
      </w:r>
    </w:p>
    <w:p w14:paraId="25D473E2" w14:textId="77777777" w:rsidR="00900692" w:rsidRPr="004865F6" w:rsidRDefault="00900692" w:rsidP="004865F6">
      <w:pPr>
        <w:ind w:right="49"/>
        <w:jc w:val="both"/>
        <w:rPr>
          <w:rFonts w:ascii="Arial Narrow" w:eastAsia="Arial Unicode MS" w:hAnsi="Arial Narrow" w:cs="Calibri"/>
          <w:color w:val="000000"/>
          <w:sz w:val="20"/>
          <w:szCs w:val="20"/>
          <w:lang w:val="es-ES" w:eastAsia="es-ES"/>
        </w:rPr>
      </w:pPr>
    </w:p>
    <w:p w14:paraId="25D473E3"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2" w:name="bookmark3"/>
      <w:r w:rsidRPr="004865F6">
        <w:rPr>
          <w:rFonts w:ascii="Arial Narrow" w:hAnsi="Arial Narrow" w:cs="Calibri"/>
          <w:b/>
          <w:color w:val="000000"/>
          <w:sz w:val="20"/>
          <w:szCs w:val="20"/>
          <w:u w:val="single"/>
          <w:lang w:val="es-MX"/>
        </w:rPr>
        <w:t>Impacto medioambiental o sobre el patrimonio cultural de la Nación</w:t>
      </w:r>
      <w:bookmarkEnd w:id="2"/>
      <w:r w:rsidRPr="004865F6">
        <w:rPr>
          <w:rFonts w:ascii="Arial Narrow" w:hAnsi="Arial Narrow" w:cs="Calibri"/>
          <w:b/>
          <w:color w:val="000000"/>
          <w:sz w:val="20"/>
          <w:szCs w:val="20"/>
          <w:u w:val="single"/>
          <w:lang w:val="es-MX"/>
        </w:rPr>
        <w:t xml:space="preserve">. </w:t>
      </w:r>
    </w:p>
    <w:p w14:paraId="25D473E4" w14:textId="77777777" w:rsidR="00900692" w:rsidRPr="004865F6" w:rsidRDefault="00900692" w:rsidP="004865F6">
      <w:pPr>
        <w:pStyle w:val="Bodytext1"/>
        <w:suppressAutoHyphens/>
        <w:spacing w:before="0" w:after="0" w:line="240" w:lineRule="auto"/>
        <w:ind w:right="49"/>
        <w:rPr>
          <w:rFonts w:ascii="Arial Narrow" w:hAnsi="Arial Narrow" w:cs="Calibri"/>
          <w:color w:val="000000"/>
          <w:sz w:val="20"/>
          <w:szCs w:val="20"/>
          <w:u w:val="single"/>
        </w:rPr>
      </w:pPr>
    </w:p>
    <w:p w14:paraId="25D473E5" w14:textId="77777777" w:rsidR="00900692" w:rsidRPr="004865F6" w:rsidRDefault="00361057" w:rsidP="004865F6">
      <w:pPr>
        <w:pStyle w:val="Bodytext1"/>
        <w:suppressAutoHyphens/>
        <w:spacing w:before="0" w:after="0" w:line="240" w:lineRule="auto"/>
        <w:ind w:right="49"/>
        <w:rPr>
          <w:rFonts w:ascii="Arial Narrow" w:hAnsi="Arial Narrow" w:cs="Calibri"/>
          <w:color w:val="000000"/>
          <w:sz w:val="20"/>
          <w:szCs w:val="20"/>
        </w:rPr>
      </w:pPr>
      <w:r w:rsidRPr="004865F6">
        <w:rPr>
          <w:rFonts w:ascii="Arial Narrow" w:hAnsi="Arial Narrow" w:cs="Calibri"/>
          <w:color w:val="000000"/>
          <w:sz w:val="20"/>
          <w:szCs w:val="20"/>
        </w:rPr>
        <w:t>El acto administrativo de carácter general, no genera impactos medioambientales o sobre el patrimonio cultural de la Nación.</w:t>
      </w:r>
    </w:p>
    <w:p w14:paraId="25D473E6" w14:textId="77777777" w:rsidR="00900692" w:rsidRPr="004865F6" w:rsidRDefault="00900692" w:rsidP="004865F6">
      <w:pPr>
        <w:pStyle w:val="Bodytext1"/>
        <w:suppressAutoHyphens/>
        <w:spacing w:before="0" w:after="0" w:line="240" w:lineRule="auto"/>
        <w:ind w:right="49"/>
        <w:rPr>
          <w:rFonts w:ascii="Arial Narrow" w:hAnsi="Arial Narrow" w:cs="Calibri"/>
          <w:color w:val="000000"/>
          <w:sz w:val="20"/>
          <w:szCs w:val="20"/>
        </w:rPr>
      </w:pPr>
    </w:p>
    <w:p w14:paraId="25D473E7"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3" w:name="bookmark4"/>
      <w:r w:rsidRPr="004865F6">
        <w:rPr>
          <w:rFonts w:ascii="Arial Narrow" w:hAnsi="Arial Narrow" w:cs="Calibri"/>
          <w:b/>
          <w:color w:val="000000"/>
          <w:sz w:val="20"/>
          <w:szCs w:val="20"/>
          <w:u w:val="single"/>
          <w:lang w:val="es-MX"/>
        </w:rPr>
        <w:lastRenderedPageBreak/>
        <w:t>Consulta Previa y Publicidad</w:t>
      </w:r>
      <w:bookmarkEnd w:id="3"/>
      <w:r w:rsidRPr="004865F6">
        <w:rPr>
          <w:rFonts w:ascii="Arial Narrow" w:hAnsi="Arial Narrow" w:cs="Calibri"/>
          <w:b/>
          <w:color w:val="000000"/>
          <w:sz w:val="20"/>
          <w:szCs w:val="20"/>
          <w:u w:val="single"/>
          <w:lang w:val="es-MX"/>
        </w:rPr>
        <w:t xml:space="preserve"> (Decreto 1081 de 2015 y Decreto 270 de 2017).</w:t>
      </w:r>
    </w:p>
    <w:p w14:paraId="25D473E8" w14:textId="77777777" w:rsidR="00900692" w:rsidRPr="004865F6" w:rsidRDefault="00900692" w:rsidP="004865F6">
      <w:pPr>
        <w:pStyle w:val="Cuadrculamedia1-nfasis21"/>
        <w:spacing w:after="0" w:line="240" w:lineRule="auto"/>
        <w:ind w:right="49"/>
        <w:rPr>
          <w:rFonts w:ascii="Arial Narrow" w:hAnsi="Arial Narrow" w:cs="Calibri"/>
          <w:b/>
          <w:color w:val="000000"/>
          <w:sz w:val="20"/>
          <w:szCs w:val="20"/>
          <w:lang w:val="es-MX"/>
        </w:rPr>
      </w:pPr>
    </w:p>
    <w:p w14:paraId="25D473E9"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lang w:val="es-MX"/>
        </w:rPr>
        <w:t>El artículo 9° del Decreto 1345 de 2010 indica “</w:t>
      </w:r>
      <w:r w:rsidRPr="004865F6">
        <w:rPr>
          <w:rFonts w:ascii="Arial Narrow" w:hAnsi="Arial Narrow" w:cs="Calibri"/>
          <w:i/>
          <w:iCs/>
          <w:color w:val="000000"/>
          <w:sz w:val="20"/>
          <w:szCs w:val="20"/>
          <w:lang w:val="es-MX"/>
        </w:rPr>
        <w:t>Cuando la Constitución y la ley así lo ordenen, deberán realizarse las consultas en ellas señaladas, caso en el cual a la memoria justificativa deberá anexarse la constancia que acredite que se ha cumplido dicho trámite</w:t>
      </w:r>
      <w:r w:rsidRPr="004865F6">
        <w:rPr>
          <w:rFonts w:ascii="Arial Narrow" w:hAnsi="Arial Narrow" w:cs="Calibri"/>
          <w:color w:val="000000"/>
          <w:sz w:val="20"/>
          <w:szCs w:val="20"/>
          <w:lang w:val="es-MX"/>
        </w:rPr>
        <w:t xml:space="preserve">”, </w:t>
      </w:r>
    </w:p>
    <w:p w14:paraId="25D473EA" w14:textId="77777777" w:rsidR="00900692" w:rsidRPr="004865F6" w:rsidRDefault="00900692" w:rsidP="004865F6">
      <w:pPr>
        <w:ind w:right="49"/>
        <w:jc w:val="both"/>
        <w:rPr>
          <w:rFonts w:ascii="Arial Narrow" w:hAnsi="Arial Narrow" w:cs="Calibri"/>
          <w:color w:val="000000"/>
          <w:sz w:val="20"/>
          <w:szCs w:val="20"/>
          <w:lang w:val="es-MX"/>
        </w:rPr>
      </w:pPr>
    </w:p>
    <w:p w14:paraId="25D473EB"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lang w:val="es-MX"/>
        </w:rPr>
        <w:t xml:space="preserve">Por su parte el artículo 10 del mismo Decreto respecto de la Publicidad dispone </w:t>
      </w:r>
      <w:r w:rsidRPr="004865F6">
        <w:rPr>
          <w:rFonts w:ascii="Arial Narrow" w:hAnsi="Arial Narrow" w:cs="Calibri"/>
          <w:i/>
          <w:iCs/>
          <w:color w:val="000000"/>
          <w:sz w:val="20"/>
          <w:szCs w:val="20"/>
          <w:lang w:val="es-MX"/>
        </w:rPr>
        <w:t>“Cuando de conformidad con la ley, deba someterse a consideración del público la información sobre proyectos específicos de regulación antes de su expedición, a la memoria justificativa se anexará también la constancia del cumplimiento de esa obligación y se incluirá el resultado de la evaluación de las observaciones ciudadanas que se hubieren presentado</w:t>
      </w:r>
      <w:r w:rsidRPr="004865F6">
        <w:rPr>
          <w:rFonts w:ascii="Arial Narrow" w:hAnsi="Arial Narrow" w:cs="Calibri"/>
          <w:color w:val="000000"/>
          <w:sz w:val="20"/>
          <w:szCs w:val="20"/>
          <w:lang w:val="es-MX"/>
        </w:rPr>
        <w:t>.”</w:t>
      </w:r>
    </w:p>
    <w:p w14:paraId="25D473EC" w14:textId="77777777" w:rsidR="00900692" w:rsidRPr="004865F6" w:rsidRDefault="00900692" w:rsidP="004865F6">
      <w:pPr>
        <w:ind w:right="49"/>
        <w:jc w:val="both"/>
        <w:rPr>
          <w:rFonts w:ascii="Arial Narrow" w:hAnsi="Arial Narrow" w:cs="Calibri"/>
          <w:color w:val="000000"/>
          <w:sz w:val="20"/>
          <w:szCs w:val="20"/>
          <w:lang w:val="es-MX"/>
        </w:rPr>
      </w:pPr>
    </w:p>
    <w:p w14:paraId="25D473ED" w14:textId="77777777" w:rsidR="00900692" w:rsidRPr="004865F6" w:rsidRDefault="00361057" w:rsidP="004865F6">
      <w:pPr>
        <w:ind w:right="49"/>
        <w:jc w:val="both"/>
        <w:rPr>
          <w:rFonts w:ascii="Arial Narrow" w:hAnsi="Arial Narrow" w:cs="Calibri"/>
          <w:color w:val="000000"/>
          <w:sz w:val="20"/>
          <w:szCs w:val="20"/>
          <w:lang w:val="es-MX"/>
        </w:rPr>
      </w:pPr>
      <w:r w:rsidRPr="004865F6">
        <w:rPr>
          <w:rFonts w:ascii="Arial Narrow" w:hAnsi="Arial Narrow" w:cs="Calibri"/>
          <w:color w:val="000000"/>
          <w:sz w:val="20"/>
          <w:szCs w:val="20"/>
          <w:lang w:val="es-MX"/>
        </w:rPr>
        <w:t>Conforme con la normatividad previamente citada, no resulta legalmente viable efectuar la consulta previa.</w:t>
      </w:r>
    </w:p>
    <w:p w14:paraId="25D473EE" w14:textId="77777777" w:rsidR="00900692" w:rsidRPr="004865F6" w:rsidRDefault="00900692" w:rsidP="004865F6">
      <w:pPr>
        <w:ind w:right="49"/>
        <w:jc w:val="both"/>
        <w:rPr>
          <w:rFonts w:ascii="Arial Narrow" w:hAnsi="Arial Narrow" w:cs="Calibri"/>
          <w:color w:val="000000"/>
          <w:sz w:val="20"/>
          <w:szCs w:val="20"/>
          <w:lang w:val="es-MX"/>
        </w:rPr>
      </w:pPr>
    </w:p>
    <w:p w14:paraId="25D473EF" w14:textId="74B655D8"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lang w:val="es-MX"/>
        </w:rPr>
        <w:t>Sin embargo, si es necesario adelantar la publicidad de que trata el artículo 10° del Decreto 1345 de 2010, por lo que se procedió a dar cumplimiento a lo dispuesto en la Resolución No. 523 de 2017, publicando en la</w:t>
      </w:r>
      <w:r w:rsidR="00571B6C">
        <w:rPr>
          <w:rFonts w:ascii="Arial Narrow" w:hAnsi="Arial Narrow" w:cs="Calibri"/>
          <w:color w:val="000000"/>
          <w:sz w:val="20"/>
          <w:szCs w:val="20"/>
          <w:lang w:val="es-MX"/>
        </w:rPr>
        <w:t xml:space="preserve"> </w:t>
      </w:r>
      <w:r w:rsidR="00571B6C" w:rsidRPr="00571B6C">
        <w:rPr>
          <w:rFonts w:ascii="Arial Narrow" w:hAnsi="Arial Narrow" w:cs="Calibri"/>
          <w:color w:val="000000"/>
          <w:sz w:val="20"/>
          <w:szCs w:val="20"/>
          <w:lang w:val="es-MX"/>
        </w:rPr>
        <w:t xml:space="preserve">página web de la entidad para los comentarios y observaciones de la </w:t>
      </w:r>
      <w:r w:rsidR="00571B6C" w:rsidRPr="0077632D">
        <w:rPr>
          <w:rFonts w:ascii="Arial Narrow" w:hAnsi="Arial Narrow" w:cs="Calibri"/>
          <w:color w:val="000000"/>
          <w:sz w:val="20"/>
          <w:szCs w:val="20"/>
          <w:lang w:val="es-MX"/>
        </w:rPr>
        <w:t xml:space="preserve">ciudadanía, concediendo para el efecto plazo de veinte (20) días calendario, desde el </w:t>
      </w:r>
      <w:r w:rsidR="0077632D" w:rsidRPr="0077632D">
        <w:rPr>
          <w:rFonts w:ascii="Arial Narrow" w:hAnsi="Arial Narrow" w:cs="Calibri"/>
          <w:color w:val="000000"/>
          <w:sz w:val="20"/>
          <w:szCs w:val="20"/>
          <w:lang w:val="es-MX"/>
        </w:rPr>
        <w:t>11</w:t>
      </w:r>
      <w:r w:rsidR="00571B6C" w:rsidRPr="0077632D">
        <w:rPr>
          <w:rFonts w:ascii="Arial Narrow" w:hAnsi="Arial Narrow" w:cs="Calibri"/>
          <w:color w:val="000000"/>
          <w:sz w:val="20"/>
          <w:szCs w:val="20"/>
          <w:lang w:val="es-MX"/>
        </w:rPr>
        <w:t xml:space="preserve"> de octubre de 2023 hasta el </w:t>
      </w:r>
      <w:r w:rsidR="0077632D" w:rsidRPr="0077632D">
        <w:rPr>
          <w:rFonts w:ascii="Arial Narrow" w:hAnsi="Arial Narrow" w:cs="Calibri"/>
          <w:color w:val="000000"/>
          <w:sz w:val="20"/>
          <w:szCs w:val="20"/>
          <w:lang w:val="es-MX"/>
        </w:rPr>
        <w:t>30</w:t>
      </w:r>
      <w:r w:rsidR="00571B6C" w:rsidRPr="0077632D">
        <w:rPr>
          <w:rFonts w:ascii="Arial Narrow" w:hAnsi="Arial Narrow" w:cs="Calibri"/>
          <w:color w:val="000000"/>
          <w:sz w:val="20"/>
          <w:szCs w:val="20"/>
          <w:lang w:val="es-MX"/>
        </w:rPr>
        <w:t xml:space="preserve"> de octubre de 2023.</w:t>
      </w:r>
    </w:p>
    <w:p w14:paraId="25D473F0" w14:textId="77777777" w:rsidR="00900692" w:rsidRPr="004865F6" w:rsidRDefault="00900692" w:rsidP="004865F6">
      <w:pPr>
        <w:ind w:right="49"/>
        <w:jc w:val="both"/>
        <w:rPr>
          <w:rFonts w:ascii="Arial Narrow" w:hAnsi="Arial Narrow" w:cs="Calibri"/>
          <w:color w:val="000000"/>
          <w:sz w:val="20"/>
          <w:szCs w:val="20"/>
          <w:lang w:val="es-ES"/>
        </w:rPr>
      </w:pPr>
    </w:p>
    <w:p w14:paraId="25D473F1"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4" w:name="bookmark5"/>
      <w:r w:rsidRPr="004865F6">
        <w:rPr>
          <w:rFonts w:ascii="Arial Narrow" w:hAnsi="Arial Narrow" w:cs="Calibri"/>
          <w:b/>
          <w:color w:val="000000"/>
          <w:sz w:val="20"/>
          <w:szCs w:val="20"/>
          <w:u w:val="single"/>
          <w:lang w:val="es-MX"/>
        </w:rPr>
        <w:t>Otros</w:t>
      </w:r>
      <w:bookmarkEnd w:id="4"/>
    </w:p>
    <w:p w14:paraId="25D473F2" w14:textId="77777777" w:rsidR="00900692" w:rsidRPr="004865F6" w:rsidRDefault="00900692" w:rsidP="004865F6">
      <w:pPr>
        <w:ind w:right="49"/>
        <w:jc w:val="both"/>
        <w:rPr>
          <w:rFonts w:ascii="Arial Narrow" w:eastAsia="Arial Unicode MS" w:hAnsi="Arial Narrow" w:cs="Calibri"/>
          <w:color w:val="000000"/>
          <w:sz w:val="20"/>
          <w:szCs w:val="20"/>
          <w:lang w:val="es-ES" w:eastAsia="es-ES"/>
        </w:rPr>
      </w:pPr>
    </w:p>
    <w:p w14:paraId="25D473F3" w14:textId="4A48E201" w:rsidR="00900692" w:rsidRPr="004865F6" w:rsidRDefault="00361057" w:rsidP="004865F6">
      <w:pPr>
        <w:jc w:val="both"/>
        <w:rPr>
          <w:rFonts w:ascii="Arial Narrow" w:hAnsi="Arial Narrow"/>
          <w:sz w:val="20"/>
          <w:szCs w:val="20"/>
        </w:rPr>
      </w:pPr>
      <w:r w:rsidRPr="004865F6">
        <w:rPr>
          <w:rFonts w:ascii="Arial Narrow" w:eastAsia="Arial Unicode MS" w:hAnsi="Arial Narrow" w:cs="Calibri"/>
          <w:color w:val="000000"/>
          <w:sz w:val="20"/>
          <w:szCs w:val="20"/>
          <w:lang w:val="es-ES" w:eastAsia="es-ES"/>
        </w:rPr>
        <w:t>En conclusión, de acuerdo con la justificación previamente expuesta, se cuenta con la viabilidad jurídica para proferir el Acto Administrativo, “</w:t>
      </w:r>
      <w:r w:rsidR="00571B6C" w:rsidRPr="00571B6C">
        <w:rPr>
          <w:rFonts w:ascii="Arial Narrow" w:hAnsi="Arial Narrow" w:cs="Calibri"/>
          <w:i/>
          <w:iCs/>
          <w:sz w:val="20"/>
          <w:szCs w:val="20"/>
          <w:lang w:eastAsia="es-ES_tradnl"/>
        </w:rPr>
        <w:t>Por medio de la cual se adopta el procedimiento de relacionamiento con el territorio para otorgamiento de títulos mineros</w:t>
      </w:r>
      <w:r w:rsidRPr="004865F6">
        <w:rPr>
          <w:rFonts w:ascii="Arial Narrow" w:hAnsi="Arial Narrow" w:cs="Calibri"/>
          <w:i/>
          <w:sz w:val="20"/>
          <w:szCs w:val="20"/>
        </w:rPr>
        <w:t>”.</w:t>
      </w:r>
    </w:p>
    <w:p w14:paraId="25D473F4" w14:textId="77777777" w:rsidR="00900692" w:rsidRPr="004865F6" w:rsidRDefault="00900692" w:rsidP="004865F6">
      <w:pPr>
        <w:ind w:right="49"/>
        <w:jc w:val="both"/>
        <w:rPr>
          <w:rFonts w:ascii="Arial Narrow" w:eastAsia="Arial Unicode MS" w:hAnsi="Arial Narrow" w:cs="Calibri"/>
          <w:color w:val="000000"/>
          <w:sz w:val="20"/>
          <w:szCs w:val="20"/>
          <w:lang w:eastAsia="es-ES"/>
        </w:rPr>
      </w:pPr>
    </w:p>
    <w:p w14:paraId="25D473F5" w14:textId="77777777" w:rsidR="00900692" w:rsidRPr="004865F6" w:rsidRDefault="00900692" w:rsidP="004865F6">
      <w:pPr>
        <w:pStyle w:val="Heading141"/>
        <w:tabs>
          <w:tab w:val="left" w:pos="3805"/>
        </w:tabs>
        <w:suppressAutoHyphens/>
        <w:spacing w:before="0" w:after="0" w:line="240" w:lineRule="auto"/>
        <w:jc w:val="both"/>
        <w:rPr>
          <w:rFonts w:ascii="Arial Narrow" w:hAnsi="Arial Narrow" w:cs="Calibri"/>
          <w:sz w:val="20"/>
          <w:szCs w:val="20"/>
          <w:lang w:eastAsia="es-ES_tradnl"/>
        </w:rPr>
      </w:pPr>
    </w:p>
    <w:tbl>
      <w:tblPr>
        <w:tblW w:w="9589" w:type="dxa"/>
        <w:tblCellMar>
          <w:left w:w="10" w:type="dxa"/>
          <w:right w:w="10" w:type="dxa"/>
        </w:tblCellMar>
        <w:tblLook w:val="04A0" w:firstRow="1" w:lastRow="0" w:firstColumn="1" w:lastColumn="0" w:noHBand="0" w:noVBand="1"/>
      </w:tblPr>
      <w:tblGrid>
        <w:gridCol w:w="4659"/>
        <w:gridCol w:w="4930"/>
      </w:tblGrid>
      <w:tr w:rsidR="00900692" w:rsidRPr="004865F6" w14:paraId="25D47404" w14:textId="77777777" w:rsidTr="004865F6">
        <w:trPr>
          <w:trHeight w:val="2092"/>
        </w:trPr>
        <w:tc>
          <w:tcPr>
            <w:tcW w:w="4659" w:type="dxa"/>
            <w:shd w:val="clear" w:color="auto" w:fill="auto"/>
            <w:tcMar>
              <w:top w:w="0" w:type="dxa"/>
              <w:left w:w="108" w:type="dxa"/>
              <w:bottom w:w="0" w:type="dxa"/>
              <w:right w:w="108" w:type="dxa"/>
            </w:tcMar>
          </w:tcPr>
          <w:p w14:paraId="25D473F6" w14:textId="77777777" w:rsidR="00900692" w:rsidRPr="004865F6" w:rsidRDefault="00361057" w:rsidP="004865F6">
            <w:pPr>
              <w:ind w:right="49"/>
              <w:jc w:val="both"/>
              <w:rPr>
                <w:rFonts w:ascii="Arial Narrow" w:hAnsi="Arial Narrow"/>
                <w:sz w:val="20"/>
                <w:szCs w:val="20"/>
              </w:rPr>
            </w:pPr>
            <w:r w:rsidRPr="004865F6">
              <w:rPr>
                <w:rFonts w:ascii="Arial Narrow" w:hAnsi="Arial Narrow" w:cs="Arial"/>
                <w:b/>
                <w:sz w:val="20"/>
                <w:szCs w:val="20"/>
                <w:lang w:val="es-ES_tradnl" w:eastAsia="es-ES_tradnl"/>
              </w:rPr>
              <w:t>Aprueba</w:t>
            </w:r>
            <w:r w:rsidRPr="004865F6">
              <w:rPr>
                <w:rFonts w:ascii="Arial Narrow" w:eastAsia="Arial Unicode MS" w:hAnsi="Arial Narrow" w:cs="Arial"/>
                <w:b/>
                <w:sz w:val="20"/>
                <w:szCs w:val="20"/>
                <w:lang w:val="es-ES_tradnl" w:eastAsia="es-ES"/>
              </w:rPr>
              <w:t xml:space="preserve"> </w:t>
            </w:r>
          </w:p>
          <w:p w14:paraId="25D473F7"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p w14:paraId="25D473F8"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p w14:paraId="25D473F9"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p w14:paraId="25D473FA" w14:textId="77777777" w:rsidR="00900692" w:rsidRPr="004865F6" w:rsidRDefault="00361057" w:rsidP="004865F6">
            <w:pPr>
              <w:ind w:right="49"/>
              <w:jc w:val="both"/>
              <w:rPr>
                <w:rFonts w:ascii="Arial Narrow" w:eastAsia="Arial Unicode MS" w:hAnsi="Arial Narrow" w:cs="Arial"/>
                <w:b/>
                <w:sz w:val="20"/>
                <w:szCs w:val="20"/>
                <w:lang w:val="es-ES_tradnl" w:eastAsia="es-ES"/>
              </w:rPr>
            </w:pPr>
            <w:r w:rsidRPr="004865F6">
              <w:rPr>
                <w:rFonts w:ascii="Arial Narrow" w:eastAsia="Arial Unicode MS" w:hAnsi="Arial Narrow" w:cs="Arial"/>
                <w:b/>
                <w:sz w:val="20"/>
                <w:szCs w:val="20"/>
                <w:lang w:val="es-ES_tradnl" w:eastAsia="es-ES"/>
              </w:rPr>
              <w:t xml:space="preserve">IVONNE DEL PILAR JIMÉNEZ GARCÍA </w:t>
            </w:r>
          </w:p>
          <w:p w14:paraId="25D473FB" w14:textId="7B1A657F" w:rsidR="00900692" w:rsidRPr="004865F6" w:rsidRDefault="00361057" w:rsidP="004865F6">
            <w:pPr>
              <w:ind w:right="49"/>
              <w:jc w:val="both"/>
              <w:rPr>
                <w:rFonts w:ascii="Arial Narrow" w:eastAsia="Arial Unicode MS" w:hAnsi="Arial Narrow" w:cs="Arial"/>
                <w:sz w:val="20"/>
                <w:szCs w:val="20"/>
                <w:lang w:val="es-ES_tradnl" w:eastAsia="es-ES"/>
              </w:rPr>
            </w:pPr>
            <w:r w:rsidRPr="004865F6">
              <w:rPr>
                <w:rFonts w:ascii="Arial Narrow" w:eastAsia="Arial Unicode MS" w:hAnsi="Arial Narrow" w:cs="Arial"/>
                <w:sz w:val="20"/>
                <w:szCs w:val="20"/>
                <w:lang w:val="es-ES_tradnl" w:eastAsia="es-ES"/>
              </w:rPr>
              <w:t xml:space="preserve">Vicepresidente de Contratación y Titulación </w:t>
            </w:r>
          </w:p>
          <w:p w14:paraId="25D473FC" w14:textId="77777777" w:rsidR="00900692" w:rsidRPr="004865F6" w:rsidRDefault="00361057" w:rsidP="004865F6">
            <w:pPr>
              <w:pStyle w:val="Bodytext41"/>
              <w:tabs>
                <w:tab w:val="left" w:pos="3798"/>
              </w:tabs>
              <w:spacing w:line="240" w:lineRule="auto"/>
              <w:ind w:right="49"/>
              <w:rPr>
                <w:rFonts w:ascii="Arial Narrow" w:hAnsi="Arial Narrow"/>
                <w:sz w:val="20"/>
                <w:szCs w:val="20"/>
              </w:rPr>
            </w:pPr>
            <w:r w:rsidRPr="004865F6">
              <w:rPr>
                <w:rFonts w:ascii="Arial Narrow" w:eastAsia="Arial Unicode MS" w:hAnsi="Arial Narrow" w:cs="Arial"/>
                <w:sz w:val="20"/>
                <w:szCs w:val="20"/>
                <w:lang w:val="es-ES_tradnl" w:eastAsia="es-ES"/>
              </w:rPr>
              <w:t xml:space="preserve"> </w:t>
            </w:r>
          </w:p>
        </w:tc>
        <w:tc>
          <w:tcPr>
            <w:tcW w:w="4930" w:type="dxa"/>
            <w:shd w:val="clear" w:color="auto" w:fill="auto"/>
            <w:tcMar>
              <w:top w:w="0" w:type="dxa"/>
              <w:left w:w="108" w:type="dxa"/>
              <w:bottom w:w="0" w:type="dxa"/>
              <w:right w:w="108" w:type="dxa"/>
            </w:tcMar>
          </w:tcPr>
          <w:p w14:paraId="25D473FD" w14:textId="77777777" w:rsidR="00900692" w:rsidRPr="004865F6" w:rsidRDefault="00361057" w:rsidP="004865F6">
            <w:pPr>
              <w:pStyle w:val="Heading141"/>
              <w:spacing w:before="0" w:after="0" w:line="240" w:lineRule="auto"/>
              <w:ind w:right="49"/>
              <w:rPr>
                <w:rFonts w:ascii="Arial Narrow" w:hAnsi="Arial Narrow" w:cs="Arial"/>
                <w:sz w:val="20"/>
                <w:szCs w:val="20"/>
                <w:lang w:val="es-ES_tradnl" w:eastAsia="es-ES_tradnl"/>
              </w:rPr>
            </w:pPr>
            <w:r w:rsidRPr="004865F6">
              <w:rPr>
                <w:rFonts w:ascii="Arial Narrow" w:hAnsi="Arial Narrow" w:cs="Arial"/>
                <w:sz w:val="20"/>
                <w:szCs w:val="20"/>
                <w:lang w:val="es-ES_tradnl" w:eastAsia="es-ES_tradnl"/>
              </w:rPr>
              <w:t xml:space="preserve">Vo Bo. </w:t>
            </w:r>
          </w:p>
          <w:p w14:paraId="25D473FE" w14:textId="77777777" w:rsidR="00900692" w:rsidRPr="004865F6" w:rsidRDefault="00900692" w:rsidP="004865F6">
            <w:pPr>
              <w:pStyle w:val="Heading141"/>
              <w:spacing w:before="0" w:after="0" w:line="240" w:lineRule="auto"/>
              <w:ind w:right="49"/>
              <w:rPr>
                <w:rFonts w:ascii="Arial Narrow" w:hAnsi="Arial Narrow" w:cs="Arial"/>
                <w:sz w:val="20"/>
                <w:szCs w:val="20"/>
                <w:lang w:val="es-ES_tradnl" w:eastAsia="es-ES_tradnl"/>
              </w:rPr>
            </w:pPr>
          </w:p>
          <w:p w14:paraId="25D473FF" w14:textId="77777777" w:rsidR="00900692" w:rsidRPr="004865F6" w:rsidRDefault="00900692" w:rsidP="004865F6">
            <w:pPr>
              <w:pStyle w:val="Heading141"/>
              <w:spacing w:before="0" w:after="0" w:line="240" w:lineRule="auto"/>
              <w:ind w:right="49"/>
              <w:rPr>
                <w:rFonts w:ascii="Arial Narrow" w:hAnsi="Arial Narrow" w:cs="Arial"/>
                <w:sz w:val="20"/>
                <w:szCs w:val="20"/>
                <w:lang w:val="es-ES_tradnl" w:eastAsia="es-ES_tradnl"/>
              </w:rPr>
            </w:pPr>
          </w:p>
          <w:p w14:paraId="25D47400" w14:textId="77777777" w:rsidR="00900692" w:rsidRPr="004865F6" w:rsidRDefault="00900692" w:rsidP="004865F6">
            <w:pPr>
              <w:pStyle w:val="Heading141"/>
              <w:spacing w:before="0" w:after="0" w:line="240" w:lineRule="auto"/>
              <w:ind w:right="49"/>
              <w:rPr>
                <w:rFonts w:ascii="Arial Narrow" w:hAnsi="Arial Narrow" w:cs="Arial"/>
                <w:sz w:val="20"/>
                <w:szCs w:val="20"/>
                <w:lang w:val="es-ES_tradnl" w:eastAsia="es-ES_tradnl"/>
              </w:rPr>
            </w:pPr>
          </w:p>
          <w:p w14:paraId="25D47401" w14:textId="77777777" w:rsidR="00900692" w:rsidRPr="004865F6" w:rsidRDefault="00361057" w:rsidP="004865F6">
            <w:pPr>
              <w:pStyle w:val="Heading141"/>
              <w:spacing w:before="0" w:after="0" w:line="240" w:lineRule="auto"/>
              <w:ind w:right="49"/>
              <w:rPr>
                <w:rFonts w:ascii="Arial Narrow" w:hAnsi="Arial Narrow" w:cs="Arial"/>
                <w:sz w:val="20"/>
                <w:szCs w:val="20"/>
                <w:lang w:val="es-ES_tradnl" w:eastAsia="es-ES_tradnl"/>
              </w:rPr>
            </w:pPr>
            <w:r w:rsidRPr="004865F6">
              <w:rPr>
                <w:rFonts w:ascii="Arial Narrow" w:hAnsi="Arial Narrow" w:cs="Arial"/>
                <w:sz w:val="20"/>
                <w:szCs w:val="20"/>
                <w:lang w:val="es-ES_tradnl" w:eastAsia="es-ES_tradnl"/>
              </w:rPr>
              <w:t>IVÁN DARÍO GUAUQUE TORRES</w:t>
            </w:r>
          </w:p>
          <w:p w14:paraId="25D47402" w14:textId="77777777" w:rsidR="00900692" w:rsidRPr="004865F6" w:rsidRDefault="00361057" w:rsidP="004865F6">
            <w:pPr>
              <w:pStyle w:val="Heading141"/>
              <w:spacing w:before="0" w:after="0" w:line="240" w:lineRule="auto"/>
              <w:ind w:right="49"/>
              <w:rPr>
                <w:rFonts w:ascii="Arial Narrow" w:hAnsi="Arial Narrow" w:cs="Arial"/>
                <w:b w:val="0"/>
                <w:sz w:val="20"/>
                <w:szCs w:val="20"/>
                <w:lang w:val="es-ES_tradnl" w:eastAsia="es-ES_tradnl"/>
              </w:rPr>
            </w:pPr>
            <w:r w:rsidRPr="004865F6">
              <w:rPr>
                <w:rFonts w:ascii="Arial Narrow" w:hAnsi="Arial Narrow" w:cs="Arial"/>
                <w:b w:val="0"/>
                <w:sz w:val="20"/>
                <w:szCs w:val="20"/>
                <w:lang w:val="es-ES_tradnl" w:eastAsia="es-ES_tradnl"/>
              </w:rPr>
              <w:t xml:space="preserve">Jefe Oficina Asesora Jurídica </w:t>
            </w:r>
          </w:p>
          <w:p w14:paraId="25D47403"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tc>
      </w:tr>
    </w:tbl>
    <w:p w14:paraId="25D47405" w14:textId="77777777" w:rsidR="00900692" w:rsidRPr="004865F6" w:rsidRDefault="00900692" w:rsidP="004865F6">
      <w:pPr>
        <w:ind w:right="49"/>
        <w:rPr>
          <w:rFonts w:ascii="Arial Narrow" w:eastAsia="Times New Roman" w:hAnsi="Arial Narrow" w:cs="Arial"/>
          <w:color w:val="000000"/>
          <w:sz w:val="20"/>
          <w:szCs w:val="20"/>
          <w:lang w:val="es-ES_tradnl" w:eastAsia="es-CO"/>
        </w:rPr>
      </w:pPr>
    </w:p>
    <w:p w14:paraId="25D47406" w14:textId="77777777" w:rsidR="00900692" w:rsidRPr="0077632D" w:rsidRDefault="00900692" w:rsidP="004865F6">
      <w:pPr>
        <w:ind w:right="49"/>
        <w:rPr>
          <w:rFonts w:ascii="Arial Narrow" w:eastAsia="Times New Roman" w:hAnsi="Arial Narrow" w:cs="Arial"/>
          <w:color w:val="000000"/>
          <w:sz w:val="15"/>
          <w:szCs w:val="15"/>
          <w:lang w:val="es-ES_tradnl" w:eastAsia="es-CO"/>
        </w:rPr>
      </w:pPr>
    </w:p>
    <w:p w14:paraId="7E1ED6CF" w14:textId="7E057E5E" w:rsidR="004865F6" w:rsidRPr="0077632D" w:rsidRDefault="004865F6" w:rsidP="004865F6">
      <w:pPr>
        <w:rPr>
          <w:rFonts w:ascii="Arial Narrow" w:hAnsi="Arial Narrow" w:cs="Arial"/>
          <w:sz w:val="15"/>
          <w:szCs w:val="15"/>
          <w:lang w:val="es-ES_tradnl"/>
        </w:rPr>
      </w:pPr>
      <w:r w:rsidRPr="0077632D">
        <w:rPr>
          <w:rFonts w:ascii="Arial Narrow" w:hAnsi="Arial Narrow" w:cs="Arial"/>
          <w:sz w:val="15"/>
          <w:szCs w:val="15"/>
          <w:lang w:val="es-ES_tradnl"/>
        </w:rPr>
        <w:t xml:space="preserve">Proyectó: </w:t>
      </w:r>
      <w:r w:rsidRPr="0077632D">
        <w:rPr>
          <w:rFonts w:ascii="Arial Narrow" w:hAnsi="Arial Narrow" w:cs="Arial"/>
          <w:sz w:val="15"/>
          <w:szCs w:val="15"/>
          <w:lang w:val="es-ES_tradnl"/>
        </w:rPr>
        <w:tab/>
        <w:t>Nayive Carrasco</w:t>
      </w:r>
      <w:r w:rsidR="00E4297A" w:rsidRPr="0077632D">
        <w:rPr>
          <w:rFonts w:ascii="Arial Narrow" w:hAnsi="Arial Narrow" w:cs="Arial"/>
          <w:sz w:val="15"/>
          <w:szCs w:val="15"/>
          <w:lang w:val="es-ES_tradnl"/>
        </w:rPr>
        <w:t xml:space="preserve"> </w:t>
      </w:r>
      <w:r w:rsidRPr="0077632D">
        <w:rPr>
          <w:rFonts w:ascii="Arial Narrow" w:hAnsi="Arial Narrow" w:cs="Arial"/>
          <w:sz w:val="15"/>
          <w:szCs w:val="15"/>
          <w:lang w:val="es-ES_tradnl"/>
        </w:rPr>
        <w:t>–</w:t>
      </w:r>
      <w:r w:rsidR="00E4297A" w:rsidRPr="0077632D">
        <w:rPr>
          <w:rFonts w:ascii="Arial Narrow" w:hAnsi="Arial Narrow" w:cs="Arial"/>
          <w:sz w:val="15"/>
          <w:szCs w:val="15"/>
          <w:lang w:val="es-ES_tradnl"/>
        </w:rPr>
        <w:t xml:space="preserve"> </w:t>
      </w:r>
      <w:r w:rsidRPr="0077632D">
        <w:rPr>
          <w:rFonts w:ascii="Arial Narrow" w:hAnsi="Arial Narrow" w:cs="Arial"/>
          <w:sz w:val="15"/>
          <w:szCs w:val="15"/>
          <w:lang w:val="es-ES_tradnl"/>
        </w:rPr>
        <w:t>Contratista VCT.</w:t>
      </w:r>
    </w:p>
    <w:p w14:paraId="1A4AE752" w14:textId="29A972A3" w:rsidR="00E4297A" w:rsidRPr="0077632D" w:rsidRDefault="00E4297A" w:rsidP="004865F6">
      <w:pPr>
        <w:rPr>
          <w:rFonts w:ascii="Arial Narrow" w:hAnsi="Arial Narrow" w:cs="Arial"/>
          <w:sz w:val="15"/>
          <w:szCs w:val="15"/>
          <w:lang w:val="es-ES_tradnl"/>
        </w:rPr>
      </w:pPr>
      <w:r w:rsidRPr="0077632D">
        <w:rPr>
          <w:rFonts w:ascii="Arial Narrow" w:hAnsi="Arial Narrow" w:cs="Arial"/>
          <w:sz w:val="15"/>
          <w:szCs w:val="15"/>
          <w:lang w:val="es-ES_tradnl"/>
        </w:rPr>
        <w:tab/>
        <w:t>Sandra Bonilla – Contratista VCT.</w:t>
      </w:r>
    </w:p>
    <w:p w14:paraId="00B14F33" w14:textId="5902A9AD" w:rsidR="00E4297A" w:rsidRPr="0077632D" w:rsidRDefault="00E4297A" w:rsidP="004865F6">
      <w:pPr>
        <w:rPr>
          <w:rFonts w:ascii="Arial Narrow" w:hAnsi="Arial Narrow" w:cs="Arial"/>
          <w:sz w:val="15"/>
          <w:szCs w:val="15"/>
          <w:lang w:val="es-ES_tradnl"/>
        </w:rPr>
      </w:pPr>
      <w:r w:rsidRPr="0077632D">
        <w:rPr>
          <w:rFonts w:ascii="Arial Narrow" w:hAnsi="Arial Narrow" w:cs="Arial"/>
          <w:sz w:val="15"/>
          <w:szCs w:val="15"/>
          <w:lang w:val="es-ES_tradnl"/>
        </w:rPr>
        <w:tab/>
        <w:t>Catalina Caro – Contratista VCT.</w:t>
      </w:r>
    </w:p>
    <w:p w14:paraId="2476FE2C" w14:textId="2D17B29B" w:rsidR="00E4297A" w:rsidRPr="0077632D" w:rsidRDefault="00E4297A" w:rsidP="004865F6">
      <w:pPr>
        <w:rPr>
          <w:rFonts w:ascii="Arial Narrow" w:hAnsi="Arial Narrow" w:cs="Arial"/>
          <w:sz w:val="15"/>
          <w:szCs w:val="15"/>
          <w:lang w:val="es-ES_tradnl"/>
        </w:rPr>
      </w:pPr>
      <w:r w:rsidRPr="0077632D">
        <w:rPr>
          <w:rFonts w:ascii="Arial Narrow" w:hAnsi="Arial Narrow" w:cs="Arial"/>
          <w:sz w:val="15"/>
          <w:szCs w:val="15"/>
          <w:lang w:val="es-ES_tradnl"/>
        </w:rPr>
        <w:tab/>
        <w:t>Luisa Fernanda Flórez – Contratista VCT.</w:t>
      </w:r>
    </w:p>
    <w:p w14:paraId="57B00C59" w14:textId="068C4515" w:rsidR="00E4297A" w:rsidRPr="0077632D" w:rsidRDefault="00E4297A" w:rsidP="004865F6">
      <w:pPr>
        <w:rPr>
          <w:rFonts w:ascii="Arial Narrow" w:hAnsi="Arial Narrow" w:cs="Arial"/>
          <w:sz w:val="15"/>
          <w:szCs w:val="15"/>
          <w:lang w:val="es-ES_tradnl"/>
        </w:rPr>
      </w:pPr>
      <w:r w:rsidRPr="0077632D">
        <w:rPr>
          <w:rFonts w:ascii="Arial Narrow" w:hAnsi="Arial Narrow" w:cs="Arial"/>
          <w:sz w:val="15"/>
          <w:szCs w:val="15"/>
          <w:lang w:val="es-ES_tradnl"/>
        </w:rPr>
        <w:tab/>
        <w:t>Sandra Bulla – Contratista VCT.</w:t>
      </w:r>
    </w:p>
    <w:p w14:paraId="25D4740A" w14:textId="02FBAB25" w:rsidR="00900692" w:rsidRPr="0077632D" w:rsidRDefault="004865F6" w:rsidP="004865F6">
      <w:pPr>
        <w:rPr>
          <w:rFonts w:ascii="Arial Narrow" w:hAnsi="Arial Narrow"/>
          <w:b/>
          <w:bCs/>
          <w:sz w:val="15"/>
          <w:szCs w:val="15"/>
        </w:rPr>
      </w:pPr>
      <w:r w:rsidRPr="0077632D">
        <w:rPr>
          <w:rFonts w:ascii="Arial Narrow" w:hAnsi="Arial Narrow" w:cs="Arial"/>
          <w:sz w:val="15"/>
          <w:szCs w:val="15"/>
          <w:lang w:val="es-ES_tradnl"/>
        </w:rPr>
        <w:t xml:space="preserve">Revisó: </w:t>
      </w:r>
      <w:r w:rsidRPr="0077632D">
        <w:rPr>
          <w:rFonts w:ascii="Arial Narrow" w:hAnsi="Arial Narrow" w:cs="Arial"/>
          <w:sz w:val="15"/>
          <w:szCs w:val="15"/>
          <w:lang w:val="es-ES_tradnl"/>
        </w:rPr>
        <w:tab/>
        <w:t>Julieth Marianne Laguado – Gerente de Contratación Minera.</w:t>
      </w:r>
    </w:p>
    <w:p w14:paraId="25D4740B" w14:textId="77777777" w:rsidR="00900692" w:rsidRPr="008D55FD" w:rsidRDefault="00900692" w:rsidP="004865F6">
      <w:pPr>
        <w:jc w:val="both"/>
        <w:rPr>
          <w:rFonts w:ascii="Arial Narrow" w:hAnsi="Arial Narrow"/>
          <w:sz w:val="18"/>
          <w:szCs w:val="18"/>
        </w:rPr>
      </w:pPr>
    </w:p>
    <w:p w14:paraId="194B7E28" w14:textId="77777777" w:rsidR="004865F6" w:rsidRPr="004865F6" w:rsidRDefault="004865F6">
      <w:pPr>
        <w:jc w:val="both"/>
        <w:rPr>
          <w:rFonts w:ascii="Arial Narrow" w:hAnsi="Arial Narrow"/>
          <w:sz w:val="20"/>
          <w:szCs w:val="20"/>
        </w:rPr>
      </w:pPr>
    </w:p>
    <w:sectPr w:rsidR="004865F6" w:rsidRPr="004865F6" w:rsidSect="004865F6">
      <w:headerReference w:type="default" r:id="rId7"/>
      <w:pgSz w:w="12240" w:h="15840"/>
      <w:pgMar w:top="2977" w:right="1701" w:bottom="1418"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D0D190" w14:textId="77777777" w:rsidR="000065A2" w:rsidRDefault="000065A2">
      <w:r>
        <w:separator/>
      </w:r>
    </w:p>
  </w:endnote>
  <w:endnote w:type="continuationSeparator" w:id="0">
    <w:p w14:paraId="11AB6A0B" w14:textId="77777777" w:rsidR="000065A2" w:rsidRDefault="000065A2">
      <w:r>
        <w:continuationSeparator/>
      </w:r>
    </w:p>
  </w:endnote>
  <w:endnote w:type="continuationNotice" w:id="1">
    <w:p w14:paraId="14F8D066" w14:textId="77777777" w:rsidR="000065A2" w:rsidRDefault="000065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notTrueType/>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92F2E" w14:textId="77777777" w:rsidR="000065A2" w:rsidRDefault="000065A2">
      <w:r>
        <w:rPr>
          <w:color w:val="000000"/>
        </w:rPr>
        <w:separator/>
      </w:r>
    </w:p>
  </w:footnote>
  <w:footnote w:type="continuationSeparator" w:id="0">
    <w:p w14:paraId="593913BD" w14:textId="77777777" w:rsidR="000065A2" w:rsidRDefault="000065A2">
      <w:r>
        <w:continuationSeparator/>
      </w:r>
    </w:p>
  </w:footnote>
  <w:footnote w:type="continuationNotice" w:id="1">
    <w:p w14:paraId="72D2EE69" w14:textId="77777777" w:rsidR="000065A2" w:rsidRDefault="000065A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0284" w14:textId="4DC3AB23" w:rsidR="004865F6" w:rsidRDefault="004865F6">
    <w:r>
      <w:rPr>
        <w:noProof/>
        <w:lang w:eastAsia="es-CO"/>
      </w:rPr>
      <w:drawing>
        <wp:anchor distT="0" distB="0" distL="114300" distR="114300" simplePos="0" relativeHeight="251659264" behindDoc="1" locked="0" layoutInCell="1" allowOverlap="1" wp14:anchorId="25D472E4" wp14:editId="49EE69C2">
          <wp:simplePos x="0" y="0"/>
          <wp:positionH relativeFrom="page">
            <wp:align>left</wp:align>
          </wp:positionH>
          <wp:positionV relativeFrom="paragraph">
            <wp:posOffset>-450215</wp:posOffset>
          </wp:positionV>
          <wp:extent cx="7823204" cy="10123166"/>
          <wp:effectExtent l="0" t="0" r="6350" b="0"/>
          <wp:wrapNone/>
          <wp:docPr id="884574768" name="Imagen 88457476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7823204" cy="10123166"/>
                  </a:xfrm>
                  <a:prstGeom prst="rect">
                    <a:avLst/>
                  </a:prstGeom>
                  <a:noFill/>
                  <a:ln>
                    <a:noFill/>
                    <a:prstDash/>
                  </a:ln>
                </pic:spPr>
              </pic:pic>
            </a:graphicData>
          </a:graphic>
        </wp:anchor>
      </w:drawing>
    </w:r>
  </w:p>
  <w:p w14:paraId="6107DEA3" w14:textId="77777777" w:rsidR="004865F6" w:rsidRDefault="004865F6"/>
  <w:p w14:paraId="1FFD8659" w14:textId="77777777" w:rsidR="004865F6" w:rsidRDefault="004865F6"/>
  <w:p w14:paraId="15BC88D2" w14:textId="77777777" w:rsidR="004865F6" w:rsidRDefault="004865F6"/>
  <w:tbl>
    <w:tblPr>
      <w:tblStyle w:val="Tablaconcuadrcula"/>
      <w:tblW w:w="0" w:type="auto"/>
      <w:tblInd w:w="-5" w:type="dxa"/>
      <w:tblLook w:val="04A0" w:firstRow="1" w:lastRow="0" w:firstColumn="1" w:lastColumn="0" w:noHBand="0" w:noVBand="1"/>
    </w:tblPr>
    <w:tblGrid>
      <w:gridCol w:w="3126"/>
      <w:gridCol w:w="2828"/>
      <w:gridCol w:w="2817"/>
    </w:tblGrid>
    <w:tr w:rsidR="004865F6" w:rsidRPr="004865F6" w14:paraId="73CAC27D" w14:textId="77777777" w:rsidTr="004865F6">
      <w:tc>
        <w:tcPr>
          <w:tcW w:w="3126" w:type="dxa"/>
          <w:vMerge w:val="restart"/>
        </w:tcPr>
        <w:p w14:paraId="279144A9" w14:textId="7E8EF7C1" w:rsidR="004865F6" w:rsidRPr="004865F6" w:rsidRDefault="004865F6" w:rsidP="004865F6">
          <w:pPr>
            <w:jc w:val="center"/>
            <w:rPr>
              <w:rFonts w:ascii="Arial Narrow" w:hAnsi="Arial Narrow" w:cstheme="minorHAnsi"/>
              <w:sz w:val="20"/>
              <w:szCs w:val="20"/>
            </w:rPr>
          </w:pPr>
          <w:r w:rsidRPr="004865F6">
            <w:rPr>
              <w:rFonts w:ascii="Arial Narrow" w:hAnsi="Arial Narrow"/>
              <w:noProof/>
              <w:sz w:val="20"/>
              <w:szCs w:val="20"/>
              <w:lang w:eastAsia="es-CO"/>
            </w:rPr>
            <w:drawing>
              <wp:inline distT="0" distB="0" distL="0" distR="0" wp14:anchorId="6EF5EBDB" wp14:editId="6B663315">
                <wp:extent cx="1847851" cy="533401"/>
                <wp:effectExtent l="0" t="0" r="0" b="0"/>
                <wp:docPr id="1584858743" name="Imagen 1584858743"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2" name="3 Imagen" descr="Texto&#10;&#10;Descripción generada automáticamente"/>
                        <pic:cNvPicPr/>
                      </pic:nvPicPr>
                      <pic:blipFill>
                        <a:blip r:embed="rId2"/>
                        <a:srcRect b="15032"/>
                        <a:stretch>
                          <a:fillRect/>
                        </a:stretch>
                      </pic:blipFill>
                      <pic:spPr>
                        <a:xfrm>
                          <a:off x="0" y="0"/>
                          <a:ext cx="1847851" cy="533401"/>
                        </a:xfrm>
                        <a:prstGeom prst="rect">
                          <a:avLst/>
                        </a:prstGeom>
                        <a:noFill/>
                        <a:ln>
                          <a:noFill/>
                          <a:prstDash/>
                        </a:ln>
                      </pic:spPr>
                    </pic:pic>
                  </a:graphicData>
                </a:graphic>
              </wp:inline>
            </w:drawing>
          </w:r>
        </w:p>
      </w:tc>
      <w:tc>
        <w:tcPr>
          <w:tcW w:w="2828" w:type="dxa"/>
        </w:tcPr>
        <w:p w14:paraId="0B03D121"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GESTIÓN JURÍDICA</w:t>
          </w:r>
        </w:p>
      </w:tc>
      <w:tc>
        <w:tcPr>
          <w:tcW w:w="2817" w:type="dxa"/>
        </w:tcPr>
        <w:p w14:paraId="2C7A8846"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CÓDIGO APO6-P-001-F-004</w:t>
          </w:r>
        </w:p>
      </w:tc>
    </w:tr>
    <w:tr w:rsidR="004865F6" w:rsidRPr="004865F6" w14:paraId="4A39CFCA" w14:textId="77777777" w:rsidTr="004865F6">
      <w:trPr>
        <w:trHeight w:val="60"/>
      </w:trPr>
      <w:tc>
        <w:tcPr>
          <w:tcW w:w="3126" w:type="dxa"/>
          <w:vMerge/>
        </w:tcPr>
        <w:p w14:paraId="4494262D" w14:textId="77777777" w:rsidR="004865F6" w:rsidRPr="004865F6" w:rsidRDefault="004865F6" w:rsidP="004865F6">
          <w:pPr>
            <w:rPr>
              <w:rFonts w:ascii="Arial Narrow" w:hAnsi="Arial Narrow" w:cstheme="minorHAnsi"/>
              <w:sz w:val="20"/>
              <w:szCs w:val="20"/>
            </w:rPr>
          </w:pPr>
        </w:p>
      </w:tc>
      <w:tc>
        <w:tcPr>
          <w:tcW w:w="2828" w:type="dxa"/>
        </w:tcPr>
        <w:p w14:paraId="0289746D"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FORMATO</w:t>
          </w:r>
        </w:p>
      </w:tc>
      <w:tc>
        <w:tcPr>
          <w:tcW w:w="2817" w:type="dxa"/>
        </w:tcPr>
        <w:p w14:paraId="6E443889"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VERSIÓN 1</w:t>
          </w:r>
        </w:p>
      </w:tc>
    </w:tr>
    <w:tr w:rsidR="004865F6" w:rsidRPr="004865F6" w14:paraId="32F1527A" w14:textId="77777777" w:rsidTr="004865F6">
      <w:trPr>
        <w:trHeight w:val="230"/>
      </w:trPr>
      <w:tc>
        <w:tcPr>
          <w:tcW w:w="3126" w:type="dxa"/>
          <w:vMerge/>
        </w:tcPr>
        <w:p w14:paraId="26E55811" w14:textId="77777777" w:rsidR="004865F6" w:rsidRPr="004865F6" w:rsidRDefault="004865F6" w:rsidP="004865F6">
          <w:pPr>
            <w:rPr>
              <w:rFonts w:ascii="Arial Narrow" w:hAnsi="Arial Narrow" w:cstheme="minorHAnsi"/>
              <w:sz w:val="20"/>
              <w:szCs w:val="20"/>
            </w:rPr>
          </w:pPr>
        </w:p>
      </w:tc>
      <w:tc>
        <w:tcPr>
          <w:tcW w:w="2828" w:type="dxa"/>
        </w:tcPr>
        <w:p w14:paraId="47705C4B"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MEMORIA</w:t>
          </w:r>
        </w:p>
        <w:p w14:paraId="3C91741A"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JUSTIFICATIVA</w:t>
          </w:r>
        </w:p>
      </w:tc>
      <w:tc>
        <w:tcPr>
          <w:tcW w:w="2817" w:type="dxa"/>
        </w:tcPr>
        <w:p w14:paraId="331FCE88"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FECHA DE VIGENCIA</w:t>
          </w:r>
        </w:p>
        <w:p w14:paraId="6642FD03"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JULIO DE 2022</w:t>
          </w:r>
        </w:p>
      </w:tc>
    </w:tr>
  </w:tbl>
  <w:p w14:paraId="25D472EC" w14:textId="523B9A42" w:rsidR="005D63EA" w:rsidRDefault="005D63EA">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A5496B"/>
    <w:multiLevelType w:val="multilevel"/>
    <w:tmpl w:val="8E560776"/>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B2739E6"/>
    <w:multiLevelType w:val="multilevel"/>
    <w:tmpl w:val="E38E6802"/>
    <w:lvl w:ilvl="0">
      <w:start w:val="1"/>
      <w:numFmt w:val="decimal"/>
      <w:lvlText w:val="%1."/>
      <w:lvlJc w:val="left"/>
      <w:pPr>
        <w:ind w:left="2136" w:hanging="360"/>
      </w:pPr>
      <w:rPr>
        <w:b/>
        <w:i w:val="0"/>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2" w15:restartNumberingAfterBreak="0">
    <w:nsid w:val="5E4C41EC"/>
    <w:multiLevelType w:val="multilevel"/>
    <w:tmpl w:val="8A4049A6"/>
    <w:lvl w:ilvl="0">
      <w:numFmt w:val="bullet"/>
      <w:lvlText w:val="-"/>
      <w:lvlJc w:val="left"/>
      <w:pPr>
        <w:ind w:left="426" w:hanging="360"/>
      </w:pPr>
      <w:rPr>
        <w:rFonts w:ascii="Arial Narrow" w:eastAsia="Calibri" w:hAnsi="Arial Narrow" w:cs="Arial"/>
      </w:rPr>
    </w:lvl>
    <w:lvl w:ilvl="1">
      <w:numFmt w:val="bullet"/>
      <w:lvlText w:val="o"/>
      <w:lvlJc w:val="left"/>
      <w:pPr>
        <w:ind w:left="1146" w:hanging="360"/>
      </w:pPr>
      <w:rPr>
        <w:rFonts w:ascii="Courier New" w:hAnsi="Courier New" w:cs="Courier New"/>
      </w:rPr>
    </w:lvl>
    <w:lvl w:ilvl="2">
      <w:numFmt w:val="bullet"/>
      <w:lvlText w:val=""/>
      <w:lvlJc w:val="left"/>
      <w:pPr>
        <w:ind w:left="1866" w:hanging="360"/>
      </w:pPr>
      <w:rPr>
        <w:rFonts w:ascii="Wingdings" w:hAnsi="Wingdings"/>
      </w:rPr>
    </w:lvl>
    <w:lvl w:ilvl="3">
      <w:numFmt w:val="bullet"/>
      <w:lvlText w:val=""/>
      <w:lvlJc w:val="left"/>
      <w:pPr>
        <w:ind w:left="2586" w:hanging="360"/>
      </w:pPr>
      <w:rPr>
        <w:rFonts w:ascii="Symbol" w:hAnsi="Symbol"/>
      </w:rPr>
    </w:lvl>
    <w:lvl w:ilvl="4">
      <w:numFmt w:val="bullet"/>
      <w:lvlText w:val="o"/>
      <w:lvlJc w:val="left"/>
      <w:pPr>
        <w:ind w:left="3306" w:hanging="360"/>
      </w:pPr>
      <w:rPr>
        <w:rFonts w:ascii="Courier New" w:hAnsi="Courier New" w:cs="Courier New"/>
      </w:rPr>
    </w:lvl>
    <w:lvl w:ilvl="5">
      <w:numFmt w:val="bullet"/>
      <w:lvlText w:val=""/>
      <w:lvlJc w:val="left"/>
      <w:pPr>
        <w:ind w:left="4026" w:hanging="360"/>
      </w:pPr>
      <w:rPr>
        <w:rFonts w:ascii="Wingdings" w:hAnsi="Wingdings"/>
      </w:rPr>
    </w:lvl>
    <w:lvl w:ilvl="6">
      <w:numFmt w:val="bullet"/>
      <w:lvlText w:val=""/>
      <w:lvlJc w:val="left"/>
      <w:pPr>
        <w:ind w:left="4746" w:hanging="360"/>
      </w:pPr>
      <w:rPr>
        <w:rFonts w:ascii="Symbol" w:hAnsi="Symbol"/>
      </w:rPr>
    </w:lvl>
    <w:lvl w:ilvl="7">
      <w:numFmt w:val="bullet"/>
      <w:lvlText w:val="o"/>
      <w:lvlJc w:val="left"/>
      <w:pPr>
        <w:ind w:left="5466" w:hanging="360"/>
      </w:pPr>
      <w:rPr>
        <w:rFonts w:ascii="Courier New" w:hAnsi="Courier New" w:cs="Courier New"/>
      </w:rPr>
    </w:lvl>
    <w:lvl w:ilvl="8">
      <w:numFmt w:val="bullet"/>
      <w:lvlText w:val=""/>
      <w:lvlJc w:val="left"/>
      <w:pPr>
        <w:ind w:left="6186" w:hanging="360"/>
      </w:pPr>
      <w:rPr>
        <w:rFonts w:ascii="Wingdings" w:hAnsi="Wingdings"/>
      </w:rPr>
    </w:lvl>
  </w:abstractNum>
  <w:abstractNum w:abstractNumId="3" w15:restartNumberingAfterBreak="0">
    <w:nsid w:val="60A90B17"/>
    <w:multiLevelType w:val="multilevel"/>
    <w:tmpl w:val="4912C01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61607E70"/>
    <w:multiLevelType w:val="multilevel"/>
    <w:tmpl w:val="CFB27AC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66D5543A"/>
    <w:multiLevelType w:val="multilevel"/>
    <w:tmpl w:val="EA1023E8"/>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CA12B2C"/>
    <w:multiLevelType w:val="multilevel"/>
    <w:tmpl w:val="CF80E88E"/>
    <w:lvl w:ilvl="0">
      <w:start w:val="1"/>
      <w:numFmt w:val="decimal"/>
      <w:lvlText w:val="%1."/>
      <w:lvlJc w:val="left"/>
      <w:pPr>
        <w:ind w:left="2136" w:hanging="360"/>
      </w:pPr>
      <w:rPr>
        <w:b/>
        <w:i w:val="0"/>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7" w15:restartNumberingAfterBreak="0">
    <w:nsid w:val="7B6779D1"/>
    <w:multiLevelType w:val="multilevel"/>
    <w:tmpl w:val="364E9EEA"/>
    <w:lvl w:ilvl="0">
      <w:numFmt w:val="bullet"/>
      <w:lvlText w:val="-"/>
      <w:lvlJc w:val="left"/>
      <w:pPr>
        <w:ind w:left="426" w:hanging="360"/>
      </w:pPr>
      <w:rPr>
        <w:rFonts w:ascii="Arial Narrow" w:eastAsia="Calibri" w:hAnsi="Arial Narrow" w:cs="Arial"/>
      </w:rPr>
    </w:lvl>
    <w:lvl w:ilvl="1">
      <w:numFmt w:val="bullet"/>
      <w:lvlText w:val="o"/>
      <w:lvlJc w:val="left"/>
      <w:pPr>
        <w:ind w:left="1146" w:hanging="360"/>
      </w:pPr>
      <w:rPr>
        <w:rFonts w:ascii="Courier New" w:hAnsi="Courier New" w:cs="Courier New"/>
      </w:rPr>
    </w:lvl>
    <w:lvl w:ilvl="2">
      <w:numFmt w:val="bullet"/>
      <w:lvlText w:val=""/>
      <w:lvlJc w:val="left"/>
      <w:pPr>
        <w:ind w:left="1866" w:hanging="360"/>
      </w:pPr>
      <w:rPr>
        <w:rFonts w:ascii="Wingdings" w:hAnsi="Wingdings"/>
      </w:rPr>
    </w:lvl>
    <w:lvl w:ilvl="3">
      <w:numFmt w:val="bullet"/>
      <w:lvlText w:val=""/>
      <w:lvlJc w:val="left"/>
      <w:pPr>
        <w:ind w:left="2586" w:hanging="360"/>
      </w:pPr>
      <w:rPr>
        <w:rFonts w:ascii="Symbol" w:hAnsi="Symbol"/>
      </w:rPr>
    </w:lvl>
    <w:lvl w:ilvl="4">
      <w:numFmt w:val="bullet"/>
      <w:lvlText w:val="o"/>
      <w:lvlJc w:val="left"/>
      <w:pPr>
        <w:ind w:left="3306" w:hanging="360"/>
      </w:pPr>
      <w:rPr>
        <w:rFonts w:ascii="Courier New" w:hAnsi="Courier New" w:cs="Courier New"/>
      </w:rPr>
    </w:lvl>
    <w:lvl w:ilvl="5">
      <w:numFmt w:val="bullet"/>
      <w:lvlText w:val=""/>
      <w:lvlJc w:val="left"/>
      <w:pPr>
        <w:ind w:left="4026" w:hanging="360"/>
      </w:pPr>
      <w:rPr>
        <w:rFonts w:ascii="Wingdings" w:hAnsi="Wingdings"/>
      </w:rPr>
    </w:lvl>
    <w:lvl w:ilvl="6">
      <w:numFmt w:val="bullet"/>
      <w:lvlText w:val=""/>
      <w:lvlJc w:val="left"/>
      <w:pPr>
        <w:ind w:left="4746" w:hanging="360"/>
      </w:pPr>
      <w:rPr>
        <w:rFonts w:ascii="Symbol" w:hAnsi="Symbol"/>
      </w:rPr>
    </w:lvl>
    <w:lvl w:ilvl="7">
      <w:numFmt w:val="bullet"/>
      <w:lvlText w:val="o"/>
      <w:lvlJc w:val="left"/>
      <w:pPr>
        <w:ind w:left="5466" w:hanging="360"/>
      </w:pPr>
      <w:rPr>
        <w:rFonts w:ascii="Courier New" w:hAnsi="Courier New" w:cs="Courier New"/>
      </w:rPr>
    </w:lvl>
    <w:lvl w:ilvl="8">
      <w:numFmt w:val="bullet"/>
      <w:lvlText w:val=""/>
      <w:lvlJc w:val="left"/>
      <w:pPr>
        <w:ind w:left="6186" w:hanging="360"/>
      </w:pPr>
      <w:rPr>
        <w:rFonts w:ascii="Wingdings" w:hAnsi="Wingdings"/>
      </w:rPr>
    </w:lvl>
  </w:abstractNum>
  <w:num w:numId="1" w16cid:durableId="1619488069">
    <w:abstractNumId w:val="6"/>
  </w:num>
  <w:num w:numId="2" w16cid:durableId="1777942616">
    <w:abstractNumId w:val="5"/>
  </w:num>
  <w:num w:numId="3" w16cid:durableId="733242994">
    <w:abstractNumId w:val="7"/>
  </w:num>
  <w:num w:numId="4" w16cid:durableId="703097584">
    <w:abstractNumId w:val="4"/>
  </w:num>
  <w:num w:numId="5" w16cid:durableId="1359693711">
    <w:abstractNumId w:val="1"/>
  </w:num>
  <w:num w:numId="6" w16cid:durableId="123278317">
    <w:abstractNumId w:val="0"/>
  </w:num>
  <w:num w:numId="7" w16cid:durableId="160046932">
    <w:abstractNumId w:val="2"/>
  </w:num>
  <w:num w:numId="8" w16cid:durableId="7116573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692"/>
    <w:rsid w:val="00000098"/>
    <w:rsid w:val="00000656"/>
    <w:rsid w:val="000065A2"/>
    <w:rsid w:val="00007BE1"/>
    <w:rsid w:val="00020551"/>
    <w:rsid w:val="0006465F"/>
    <w:rsid w:val="00067401"/>
    <w:rsid w:val="00147713"/>
    <w:rsid w:val="00152C62"/>
    <w:rsid w:val="001A42E8"/>
    <w:rsid w:val="0027371D"/>
    <w:rsid w:val="002E754E"/>
    <w:rsid w:val="00361057"/>
    <w:rsid w:val="003A36B2"/>
    <w:rsid w:val="004049A3"/>
    <w:rsid w:val="00440F76"/>
    <w:rsid w:val="00461FB3"/>
    <w:rsid w:val="00484713"/>
    <w:rsid w:val="004865F6"/>
    <w:rsid w:val="00496C3F"/>
    <w:rsid w:val="004C020A"/>
    <w:rsid w:val="005554D9"/>
    <w:rsid w:val="00571B6C"/>
    <w:rsid w:val="00581857"/>
    <w:rsid w:val="005C280D"/>
    <w:rsid w:val="005D63EA"/>
    <w:rsid w:val="00605328"/>
    <w:rsid w:val="00620DC2"/>
    <w:rsid w:val="00630936"/>
    <w:rsid w:val="00686669"/>
    <w:rsid w:val="00703AC1"/>
    <w:rsid w:val="00703EAA"/>
    <w:rsid w:val="007325EF"/>
    <w:rsid w:val="00741F9A"/>
    <w:rsid w:val="00757713"/>
    <w:rsid w:val="00771D9D"/>
    <w:rsid w:val="0077632D"/>
    <w:rsid w:val="007E2FB0"/>
    <w:rsid w:val="008B0279"/>
    <w:rsid w:val="008C02E9"/>
    <w:rsid w:val="008D55FD"/>
    <w:rsid w:val="00900692"/>
    <w:rsid w:val="009B0E62"/>
    <w:rsid w:val="009B7EE6"/>
    <w:rsid w:val="009F38C0"/>
    <w:rsid w:val="00AA463C"/>
    <w:rsid w:val="00AD011F"/>
    <w:rsid w:val="00B406BE"/>
    <w:rsid w:val="00B55831"/>
    <w:rsid w:val="00B771FE"/>
    <w:rsid w:val="00BA739C"/>
    <w:rsid w:val="00C01F97"/>
    <w:rsid w:val="00C04BC9"/>
    <w:rsid w:val="00C15BBC"/>
    <w:rsid w:val="00C2706A"/>
    <w:rsid w:val="00C50C7E"/>
    <w:rsid w:val="00CF1F2F"/>
    <w:rsid w:val="00D57222"/>
    <w:rsid w:val="00D7572C"/>
    <w:rsid w:val="00DB02C1"/>
    <w:rsid w:val="00DC2838"/>
    <w:rsid w:val="00DD3985"/>
    <w:rsid w:val="00E41B73"/>
    <w:rsid w:val="00E4297A"/>
    <w:rsid w:val="00F85347"/>
    <w:rsid w:val="00F9660A"/>
    <w:rsid w:val="00FA4EDB"/>
    <w:rsid w:val="00FD0072"/>
    <w:rsid w:val="00FD214B"/>
    <w:rsid w:val="00FF4B4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D472E2"/>
  <w15:docId w15:val="{BC7FB4D5-6066-6243-842A-DAFFB8E9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4"/>
        <w:szCs w:val="24"/>
        <w:lang w:val="es-CO"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style>
  <w:style w:type="character" w:customStyle="1" w:styleId="EncabezadoCar">
    <w:name w:val="Encabezado Car"/>
    <w:basedOn w:val="Fuentedeprrafopredeter"/>
  </w:style>
  <w:style w:type="paragraph" w:styleId="Piedepgina">
    <w:name w:val="footer"/>
    <w:basedOn w:val="Normal"/>
    <w:pPr>
      <w:tabs>
        <w:tab w:val="center" w:pos="4252"/>
        <w:tab w:val="right" w:pos="8504"/>
      </w:tabs>
    </w:pPr>
  </w:style>
  <w:style w:type="character" w:customStyle="1" w:styleId="PiedepginaCar">
    <w:name w:val="Pie de página Car"/>
    <w:basedOn w:val="Fuentedeprrafopredeter"/>
  </w:style>
  <w:style w:type="paragraph" w:customStyle="1" w:styleId="Standard">
    <w:name w:val="Standard"/>
    <w:pPr>
      <w:widowControl w:val="0"/>
      <w:suppressAutoHyphens/>
    </w:pPr>
    <w:rPr>
      <w:rFonts w:ascii="Times New Roman" w:eastAsia="Arial Unicode MS" w:hAnsi="Times New Roman"/>
      <w:kern w:val="3"/>
      <w:lang w:val="en-US" w:eastAsia="es-CO"/>
    </w:rPr>
  </w:style>
  <w:style w:type="paragraph" w:customStyle="1" w:styleId="Estilo1">
    <w:name w:val="Estilo1"/>
    <w:basedOn w:val="Standard"/>
    <w:pPr>
      <w:widowControl/>
      <w:textAlignment w:val="auto"/>
    </w:pPr>
    <w:rPr>
      <w:rFonts w:ascii="Arial" w:eastAsia="Times New Roman" w:hAnsi="Arial"/>
      <w:kern w:val="0"/>
      <w:sz w:val="20"/>
      <w:szCs w:val="20"/>
      <w:lang w:val="es-ES" w:eastAsia="es-ES" w:bidi="hi-IN"/>
    </w:rPr>
  </w:style>
  <w:style w:type="paragraph" w:customStyle="1" w:styleId="Textbody">
    <w:name w:val="Text body"/>
    <w:basedOn w:val="Normal"/>
    <w:rPr>
      <w:rFonts w:ascii="Arial" w:eastAsia="Arial Unicode MS" w:hAnsi="Arial" w:cs="Arial"/>
      <w:b/>
      <w:bCs/>
      <w:kern w:val="3"/>
      <w:lang w:eastAsia="es-CO"/>
    </w:rPr>
  </w:style>
  <w:style w:type="character" w:customStyle="1" w:styleId="fuentedeprrafopredeter1111111111">
    <w:name w:val="fuente de párrafo predeter.1_1_1_1_1_1_1_1_1_1"/>
  </w:style>
  <w:style w:type="character" w:customStyle="1" w:styleId="fuentedeprrafopredeter111">
    <w:name w:val="fuente de párrafo predeter.1_1_1"/>
  </w:style>
  <w:style w:type="character" w:customStyle="1" w:styleId="fuentedeprrafopredeter1111111">
    <w:name w:val="fuente de párrafo predeter.1_1_1_1_1_1_1"/>
  </w:style>
  <w:style w:type="paragraph" w:customStyle="1" w:styleId="Subttulo1">
    <w:name w:val="Subtítulo1"/>
    <w:basedOn w:val="Normal"/>
    <w:next w:val="Normal"/>
    <w:pPr>
      <w:widowControl w:val="0"/>
      <w:tabs>
        <w:tab w:val="left" w:pos="0"/>
      </w:tabs>
      <w:spacing w:after="60"/>
      <w:jc w:val="center"/>
      <w:outlineLvl w:val="1"/>
    </w:pPr>
    <w:rPr>
      <w:rFonts w:ascii="Cambria" w:eastAsia="Times New Roman" w:hAnsi="Cambria"/>
      <w:lang w:val="en-US" w:eastAsia="es-CO"/>
    </w:rPr>
  </w:style>
  <w:style w:type="paragraph" w:styleId="Prrafodelista">
    <w:name w:val="List Paragraph"/>
    <w:basedOn w:val="Normal"/>
    <w:pPr>
      <w:ind w:left="720"/>
    </w:pPr>
  </w:style>
  <w:style w:type="character" w:customStyle="1" w:styleId="Bodytext18">
    <w:name w:val="Body text (18)"/>
    <w:basedOn w:val="Fuentedeprrafopredeter"/>
    <w:rPr>
      <w:rFonts w:ascii="Arial" w:hAnsi="Arial"/>
      <w:b/>
      <w:bCs/>
      <w:shd w:val="clear" w:color="auto" w:fill="FFFFFF"/>
    </w:rPr>
  </w:style>
  <w:style w:type="character" w:customStyle="1" w:styleId="Bodytext18NotBold">
    <w:name w:val="Body text (18) + Not Bold"/>
    <w:basedOn w:val="Bodytext18"/>
    <w:rPr>
      <w:rFonts w:ascii="Arial" w:hAnsi="Arial"/>
      <w:b/>
      <w:bCs/>
      <w:shd w:val="clear" w:color="auto" w:fill="FFFFFF"/>
    </w:rPr>
  </w:style>
  <w:style w:type="character" w:customStyle="1" w:styleId="Bodytext19">
    <w:name w:val="Body text (19)"/>
    <w:basedOn w:val="Fuentedeprrafopredeter"/>
    <w:rPr>
      <w:rFonts w:ascii="Arial" w:hAnsi="Arial"/>
      <w:b/>
      <w:bCs/>
      <w:shd w:val="clear" w:color="auto" w:fill="FFFFFF"/>
    </w:rPr>
  </w:style>
  <w:style w:type="character" w:customStyle="1" w:styleId="Textoindependiente1">
    <w:name w:val="Texto independiente1"/>
    <w:basedOn w:val="Fuentedeprrafopredeter"/>
    <w:rPr>
      <w:rFonts w:ascii="Arial" w:hAnsi="Arial"/>
      <w:shd w:val="clear" w:color="auto" w:fill="FFFFFF"/>
    </w:rPr>
  </w:style>
  <w:style w:type="character" w:customStyle="1" w:styleId="BodytextItalic">
    <w:name w:val="Body text + Italic"/>
    <w:basedOn w:val="Textoindependiente1"/>
    <w:rPr>
      <w:rFonts w:ascii="Arial" w:hAnsi="Arial"/>
      <w:i/>
      <w:iCs/>
      <w:shd w:val="clear" w:color="auto" w:fill="FFFFFF"/>
    </w:rPr>
  </w:style>
  <w:style w:type="character" w:customStyle="1" w:styleId="Bodytext20">
    <w:name w:val="Body text (20)"/>
    <w:basedOn w:val="Fuentedeprrafopredeter"/>
    <w:rPr>
      <w:rFonts w:ascii="Arial" w:hAnsi="Arial"/>
      <w:b/>
      <w:bCs/>
      <w:shd w:val="clear" w:color="auto" w:fill="FFFFFF"/>
    </w:rPr>
  </w:style>
  <w:style w:type="character" w:customStyle="1" w:styleId="Bodytext4">
    <w:name w:val="Body text (4)"/>
    <w:basedOn w:val="Fuentedeprrafopredeter"/>
    <w:rPr>
      <w:rFonts w:ascii="Arial" w:hAnsi="Arial"/>
      <w:shd w:val="clear" w:color="auto" w:fill="FFFFFF"/>
    </w:rPr>
  </w:style>
  <w:style w:type="character" w:customStyle="1" w:styleId="Bodytext16NotBold">
    <w:name w:val="Body text (16) + Not Bold"/>
    <w:basedOn w:val="Fuentedeprrafopredeter"/>
    <w:rPr>
      <w:rFonts w:ascii="Arial" w:hAnsi="Arial"/>
      <w:b/>
      <w:bCs/>
      <w:i/>
      <w:iCs/>
      <w:shd w:val="clear" w:color="auto" w:fill="FFFFFF"/>
    </w:rPr>
  </w:style>
  <w:style w:type="character" w:customStyle="1" w:styleId="Bodytext6Bold">
    <w:name w:val="Body text (6) + Bold"/>
    <w:basedOn w:val="Fuentedeprrafopredeter"/>
    <w:rPr>
      <w:rFonts w:ascii="Arial" w:hAnsi="Arial"/>
      <w:b/>
      <w:bCs/>
      <w:i/>
      <w:iCs/>
      <w:shd w:val="clear" w:color="auto" w:fill="FFFFFF"/>
    </w:rPr>
  </w:style>
  <w:style w:type="character" w:customStyle="1" w:styleId="Bodytext2">
    <w:name w:val="Body text (2)"/>
    <w:basedOn w:val="Fuentedeprrafopredeter"/>
    <w:rPr>
      <w:rFonts w:ascii="Arial" w:hAnsi="Arial"/>
      <w:b/>
      <w:bCs/>
      <w:shd w:val="clear" w:color="auto" w:fill="FFFFFF"/>
    </w:rPr>
  </w:style>
  <w:style w:type="character" w:customStyle="1" w:styleId="Bodytext2NotBold">
    <w:name w:val="Body text (2) + Not Bold"/>
    <w:basedOn w:val="Bodytext2"/>
    <w:rPr>
      <w:rFonts w:ascii="Arial" w:hAnsi="Arial"/>
      <w:b/>
      <w:bCs/>
      <w:i/>
      <w:iCs/>
      <w:shd w:val="clear" w:color="auto" w:fill="FFFFFF"/>
    </w:rPr>
  </w:style>
  <w:style w:type="character" w:customStyle="1" w:styleId="Bodytext2NotBold1">
    <w:name w:val="Body text (2) + Not Bold1"/>
    <w:basedOn w:val="Bodytext2"/>
    <w:rPr>
      <w:rFonts w:ascii="Arial" w:hAnsi="Arial"/>
      <w:b/>
      <w:bCs/>
      <w:i/>
      <w:iCs/>
      <w:u w:val="single"/>
      <w:shd w:val="clear" w:color="auto" w:fill="FFFFFF"/>
    </w:rPr>
  </w:style>
  <w:style w:type="character" w:customStyle="1" w:styleId="Bodytext42">
    <w:name w:val="Body text (4)2"/>
    <w:basedOn w:val="Bodytext4"/>
    <w:rPr>
      <w:rFonts w:ascii="Arial" w:hAnsi="Arial"/>
      <w:u w:val="single"/>
      <w:shd w:val="clear" w:color="auto" w:fill="FFFFFF"/>
    </w:rPr>
  </w:style>
  <w:style w:type="character" w:customStyle="1" w:styleId="Heading14">
    <w:name w:val="Heading #1 (4)"/>
    <w:basedOn w:val="Fuentedeprrafopredeter"/>
    <w:rPr>
      <w:rFonts w:ascii="Arial" w:hAnsi="Arial"/>
      <w:b/>
      <w:bCs/>
      <w:shd w:val="clear" w:color="auto" w:fill="FFFFFF"/>
    </w:rPr>
  </w:style>
  <w:style w:type="paragraph" w:customStyle="1" w:styleId="Bodytext181">
    <w:name w:val="Body text (18)1"/>
    <w:basedOn w:val="Normal"/>
    <w:pPr>
      <w:shd w:val="clear" w:color="auto" w:fill="FFFFFF"/>
      <w:suppressAutoHyphens w:val="0"/>
      <w:spacing w:after="300" w:line="240" w:lineRule="atLeast"/>
      <w:jc w:val="center"/>
      <w:textAlignment w:val="auto"/>
    </w:pPr>
    <w:rPr>
      <w:rFonts w:ascii="Arial" w:hAnsi="Arial"/>
      <w:b/>
      <w:bCs/>
    </w:rPr>
  </w:style>
  <w:style w:type="paragraph" w:customStyle="1" w:styleId="Bodytext191">
    <w:name w:val="Body text (19)1"/>
    <w:basedOn w:val="Normal"/>
    <w:pPr>
      <w:shd w:val="clear" w:color="auto" w:fill="FFFFFF"/>
      <w:suppressAutoHyphens w:val="0"/>
      <w:spacing w:before="180" w:after="180" w:line="256" w:lineRule="exact"/>
      <w:ind w:hanging="320"/>
      <w:textAlignment w:val="auto"/>
    </w:pPr>
    <w:rPr>
      <w:rFonts w:ascii="Arial" w:hAnsi="Arial"/>
      <w:b/>
      <w:bCs/>
    </w:rPr>
  </w:style>
  <w:style w:type="paragraph" w:customStyle="1" w:styleId="Bodytext1">
    <w:name w:val="Body text1"/>
    <w:basedOn w:val="Normal"/>
    <w:pPr>
      <w:shd w:val="clear" w:color="auto" w:fill="FFFFFF"/>
      <w:suppressAutoHyphens w:val="0"/>
      <w:spacing w:before="180" w:after="180" w:line="248" w:lineRule="exact"/>
      <w:jc w:val="both"/>
      <w:textAlignment w:val="auto"/>
    </w:pPr>
    <w:rPr>
      <w:rFonts w:ascii="Arial" w:hAnsi="Arial"/>
    </w:rPr>
  </w:style>
  <w:style w:type="paragraph" w:customStyle="1" w:styleId="Bodytext201">
    <w:name w:val="Body text (20)1"/>
    <w:basedOn w:val="Normal"/>
    <w:pPr>
      <w:shd w:val="clear" w:color="auto" w:fill="FFFFFF"/>
      <w:suppressAutoHyphens w:val="0"/>
      <w:spacing w:before="240" w:after="240" w:line="240" w:lineRule="atLeast"/>
      <w:textAlignment w:val="auto"/>
    </w:pPr>
    <w:rPr>
      <w:rFonts w:ascii="Arial" w:hAnsi="Arial"/>
      <w:b/>
      <w:bCs/>
    </w:rPr>
  </w:style>
  <w:style w:type="paragraph" w:customStyle="1" w:styleId="Bodytext41">
    <w:name w:val="Body text (4)1"/>
    <w:basedOn w:val="Normal"/>
    <w:pPr>
      <w:shd w:val="clear" w:color="auto" w:fill="FFFFFF"/>
      <w:suppressAutoHyphens w:val="0"/>
      <w:spacing w:line="240" w:lineRule="atLeast"/>
      <w:textAlignment w:val="auto"/>
    </w:pPr>
    <w:rPr>
      <w:rFonts w:ascii="Arial" w:hAnsi="Arial"/>
    </w:rPr>
  </w:style>
  <w:style w:type="paragraph" w:customStyle="1" w:styleId="Bodytext21">
    <w:name w:val="Body text (2)1"/>
    <w:basedOn w:val="Normal"/>
    <w:pPr>
      <w:shd w:val="clear" w:color="auto" w:fill="FFFFFF"/>
      <w:suppressAutoHyphens w:val="0"/>
      <w:spacing w:line="240" w:lineRule="atLeast"/>
      <w:textAlignment w:val="auto"/>
    </w:pPr>
    <w:rPr>
      <w:rFonts w:ascii="Arial" w:hAnsi="Arial"/>
      <w:b/>
      <w:bCs/>
    </w:rPr>
  </w:style>
  <w:style w:type="paragraph" w:customStyle="1" w:styleId="Heading141">
    <w:name w:val="Heading #1 (4)1"/>
    <w:basedOn w:val="Normal"/>
    <w:pPr>
      <w:shd w:val="clear" w:color="auto" w:fill="FFFFFF"/>
      <w:suppressAutoHyphens w:val="0"/>
      <w:spacing w:before="300" w:after="300" w:line="240" w:lineRule="atLeast"/>
      <w:textAlignment w:val="auto"/>
      <w:outlineLvl w:val="0"/>
    </w:pPr>
    <w:rPr>
      <w:rFonts w:ascii="Arial" w:hAnsi="Arial"/>
      <w:b/>
      <w:bCs/>
    </w:rPr>
  </w:style>
  <w:style w:type="paragraph" w:customStyle="1" w:styleId="CUERPOTEXTO">
    <w:name w:val="CUERPO TEXTO"/>
    <w:pPr>
      <w:widowControl w:val="0"/>
      <w:tabs>
        <w:tab w:val="center" w:pos="510"/>
        <w:tab w:val="left" w:pos="1134"/>
      </w:tabs>
      <w:autoSpaceDE w:val="0"/>
      <w:spacing w:before="28" w:after="28" w:line="210" w:lineRule="atLeast"/>
      <w:ind w:firstLine="283"/>
      <w:jc w:val="both"/>
      <w:textAlignment w:val="auto"/>
    </w:pPr>
    <w:rPr>
      <w:rFonts w:ascii="Times New Roman" w:eastAsia="Times New Roman" w:hAnsi="Times New Roman"/>
      <w:color w:val="000000"/>
      <w:sz w:val="19"/>
      <w:szCs w:val="19"/>
      <w:lang w:val="es-ES" w:eastAsia="es-ES"/>
    </w:rPr>
  </w:style>
  <w:style w:type="paragraph" w:styleId="NormalWeb">
    <w:name w:val="Normal (Web)"/>
    <w:basedOn w:val="Normal"/>
    <w:uiPriority w:val="99"/>
    <w:pPr>
      <w:suppressAutoHyphens w:val="0"/>
      <w:spacing w:before="100" w:after="100"/>
      <w:textAlignment w:val="auto"/>
    </w:pPr>
    <w:rPr>
      <w:rFonts w:ascii="Times New Roman" w:eastAsia="Times New Roman" w:hAnsi="Times New Roman"/>
      <w:lang w:val="es-ES" w:eastAsia="es-ES"/>
    </w:rPr>
  </w:style>
  <w:style w:type="paragraph" w:styleId="Textocomentario">
    <w:name w:val="annotation text"/>
    <w:basedOn w:val="Normal"/>
    <w:rPr>
      <w:rFonts w:ascii="Arial Narrow" w:eastAsia="MS Mincho" w:hAnsi="Arial Narrow"/>
      <w:sz w:val="20"/>
      <w:szCs w:val="20"/>
      <w:lang w:val="es-ES" w:eastAsia="es-ES"/>
    </w:rPr>
  </w:style>
  <w:style w:type="character" w:customStyle="1" w:styleId="TextocomentarioCar">
    <w:name w:val="Texto comentario Car"/>
    <w:basedOn w:val="Fuentedeprrafopredeter"/>
    <w:rPr>
      <w:rFonts w:ascii="Arial Narrow" w:eastAsia="MS Mincho" w:hAnsi="Arial Narrow"/>
      <w:sz w:val="20"/>
      <w:szCs w:val="20"/>
      <w:lang w:val="es-ES" w:eastAsia="es-ES"/>
    </w:rPr>
  </w:style>
  <w:style w:type="paragraph" w:customStyle="1" w:styleId="Cuadrculamedia1-nfasis21">
    <w:name w:val="Cuadrícula media 1 - Énfasis 21"/>
    <w:basedOn w:val="Normal"/>
    <w:pPr>
      <w:spacing w:after="200" w:line="276" w:lineRule="auto"/>
      <w:ind w:left="720"/>
    </w:pPr>
    <w:rPr>
      <w:sz w:val="22"/>
      <w:szCs w:val="22"/>
    </w:rPr>
  </w:style>
  <w:style w:type="character" w:styleId="Refdecomentario">
    <w:name w:val="annotation reference"/>
    <w:rPr>
      <w:sz w:val="16"/>
      <w:szCs w:val="16"/>
    </w:rPr>
  </w:style>
  <w:style w:type="character" w:customStyle="1" w:styleId="Cuadrculamedia1-nfasis2Car">
    <w:name w:val="Cuadrícula media 1 - Énfasis 2 Car"/>
    <w:rPr>
      <w:sz w:val="22"/>
      <w:szCs w:val="22"/>
    </w:rPr>
  </w:style>
  <w:style w:type="paragraph" w:styleId="Revisin">
    <w:name w:val="Revision"/>
    <w:pPr>
      <w:textAlignment w:val="auto"/>
    </w:pPr>
  </w:style>
  <w:style w:type="paragraph" w:styleId="Asuntodelcomentario">
    <w:name w:val="annotation subject"/>
    <w:basedOn w:val="Textocomentario"/>
    <w:next w:val="Textocomentario"/>
    <w:link w:val="AsuntodelcomentarioCar"/>
    <w:uiPriority w:val="99"/>
    <w:rsid w:val="00361057"/>
    <w:rPr>
      <w:rFonts w:ascii="Calibri" w:eastAsia="Calibri" w:hAnsi="Calibri"/>
      <w:b/>
      <w:bCs/>
      <w:lang w:val="es-CO" w:eastAsia="en-US"/>
    </w:rPr>
  </w:style>
  <w:style w:type="character" w:customStyle="1" w:styleId="TextocomentarioCar1">
    <w:name w:val="Texto comentario Car1"/>
    <w:basedOn w:val="Fuentedeprrafopredeter"/>
    <w:rPr>
      <w:rFonts w:ascii="Arial Narrow" w:eastAsia="MS Mincho" w:hAnsi="Arial Narrow"/>
      <w:sz w:val="20"/>
      <w:szCs w:val="20"/>
      <w:lang w:val="es-ES" w:eastAsia="es-ES"/>
    </w:rPr>
  </w:style>
  <w:style w:type="character" w:customStyle="1" w:styleId="AsuntodelcomentarioCar">
    <w:name w:val="Asunto del comentario Car"/>
    <w:basedOn w:val="TextocomentarioCar1"/>
    <w:link w:val="Asuntodelcomentario"/>
    <w:uiPriority w:val="99"/>
    <w:rPr>
      <w:rFonts w:ascii="Arial Narrow" w:eastAsia="MS Mincho" w:hAnsi="Arial Narrow"/>
      <w:b/>
      <w:bCs/>
      <w:sz w:val="20"/>
      <w:szCs w:val="20"/>
      <w:lang w:val="es-ES" w:eastAsia="es-ES"/>
    </w:rPr>
  </w:style>
  <w:style w:type="table" w:styleId="Tablaconcuadrcula">
    <w:name w:val="Table Grid"/>
    <w:basedOn w:val="Tablanormal"/>
    <w:rsid w:val="004865F6"/>
    <w:pPr>
      <w:autoSpaceDN/>
      <w:textAlignment w:val="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686669"/>
    <w:rPr>
      <w:b/>
      <w:bCs/>
    </w:rPr>
  </w:style>
  <w:style w:type="character" w:styleId="Hipervnculo">
    <w:name w:val="Hyperlink"/>
    <w:basedOn w:val="Fuentedeprrafopredeter"/>
    <w:uiPriority w:val="99"/>
    <w:semiHidden/>
    <w:unhideWhenUsed/>
    <w:rsid w:val="00020551"/>
    <w:rPr>
      <w:color w:val="0000FF"/>
      <w:u w:val="single"/>
    </w:rPr>
  </w:style>
  <w:style w:type="character" w:customStyle="1" w:styleId="ui-provider">
    <w:name w:val="ui-provider"/>
    <w:basedOn w:val="Fuentedeprrafopredeter"/>
    <w:rsid w:val="00B771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646630">
      <w:bodyDiv w:val="1"/>
      <w:marLeft w:val="0"/>
      <w:marRight w:val="0"/>
      <w:marTop w:val="0"/>
      <w:marBottom w:val="0"/>
      <w:divBdr>
        <w:top w:val="none" w:sz="0" w:space="0" w:color="auto"/>
        <w:left w:val="none" w:sz="0" w:space="0" w:color="auto"/>
        <w:bottom w:val="none" w:sz="0" w:space="0" w:color="auto"/>
        <w:right w:val="none" w:sz="0" w:space="0" w:color="auto"/>
      </w:divBdr>
      <w:divsChild>
        <w:div w:id="1334260703">
          <w:marLeft w:val="547"/>
          <w:marRight w:val="0"/>
          <w:marTop w:val="0"/>
          <w:marBottom w:val="0"/>
          <w:divBdr>
            <w:top w:val="none" w:sz="0" w:space="0" w:color="auto"/>
            <w:left w:val="none" w:sz="0" w:space="0" w:color="auto"/>
            <w:bottom w:val="none" w:sz="0" w:space="0" w:color="auto"/>
            <w:right w:val="none" w:sz="0" w:space="0" w:color="auto"/>
          </w:divBdr>
        </w:div>
      </w:divsChild>
    </w:div>
    <w:div w:id="286160591">
      <w:bodyDiv w:val="1"/>
      <w:marLeft w:val="0"/>
      <w:marRight w:val="0"/>
      <w:marTop w:val="0"/>
      <w:marBottom w:val="0"/>
      <w:divBdr>
        <w:top w:val="none" w:sz="0" w:space="0" w:color="auto"/>
        <w:left w:val="none" w:sz="0" w:space="0" w:color="auto"/>
        <w:bottom w:val="none" w:sz="0" w:space="0" w:color="auto"/>
        <w:right w:val="none" w:sz="0" w:space="0" w:color="auto"/>
      </w:divBdr>
      <w:divsChild>
        <w:div w:id="1210150857">
          <w:marLeft w:val="547"/>
          <w:marRight w:val="0"/>
          <w:marTop w:val="0"/>
          <w:marBottom w:val="0"/>
          <w:divBdr>
            <w:top w:val="none" w:sz="0" w:space="0" w:color="auto"/>
            <w:left w:val="none" w:sz="0" w:space="0" w:color="auto"/>
            <w:bottom w:val="none" w:sz="0" w:space="0" w:color="auto"/>
            <w:right w:val="none" w:sz="0" w:space="0" w:color="auto"/>
          </w:divBdr>
        </w:div>
      </w:divsChild>
    </w:div>
    <w:div w:id="424427908">
      <w:bodyDiv w:val="1"/>
      <w:marLeft w:val="0"/>
      <w:marRight w:val="0"/>
      <w:marTop w:val="0"/>
      <w:marBottom w:val="0"/>
      <w:divBdr>
        <w:top w:val="none" w:sz="0" w:space="0" w:color="auto"/>
        <w:left w:val="none" w:sz="0" w:space="0" w:color="auto"/>
        <w:bottom w:val="none" w:sz="0" w:space="0" w:color="auto"/>
        <w:right w:val="none" w:sz="0" w:space="0" w:color="auto"/>
      </w:divBdr>
    </w:div>
    <w:div w:id="632636098">
      <w:bodyDiv w:val="1"/>
      <w:marLeft w:val="0"/>
      <w:marRight w:val="0"/>
      <w:marTop w:val="0"/>
      <w:marBottom w:val="0"/>
      <w:divBdr>
        <w:top w:val="none" w:sz="0" w:space="0" w:color="auto"/>
        <w:left w:val="none" w:sz="0" w:space="0" w:color="auto"/>
        <w:bottom w:val="none" w:sz="0" w:space="0" w:color="auto"/>
        <w:right w:val="none" w:sz="0" w:space="0" w:color="auto"/>
      </w:divBdr>
    </w:div>
    <w:div w:id="1278756198">
      <w:bodyDiv w:val="1"/>
      <w:marLeft w:val="0"/>
      <w:marRight w:val="0"/>
      <w:marTop w:val="0"/>
      <w:marBottom w:val="0"/>
      <w:divBdr>
        <w:top w:val="none" w:sz="0" w:space="0" w:color="auto"/>
        <w:left w:val="none" w:sz="0" w:space="0" w:color="auto"/>
        <w:bottom w:val="none" w:sz="0" w:space="0" w:color="auto"/>
        <w:right w:val="none" w:sz="0" w:space="0" w:color="auto"/>
      </w:divBdr>
    </w:div>
    <w:div w:id="1457136863">
      <w:bodyDiv w:val="1"/>
      <w:marLeft w:val="0"/>
      <w:marRight w:val="0"/>
      <w:marTop w:val="0"/>
      <w:marBottom w:val="0"/>
      <w:divBdr>
        <w:top w:val="none" w:sz="0" w:space="0" w:color="auto"/>
        <w:left w:val="none" w:sz="0" w:space="0" w:color="auto"/>
        <w:bottom w:val="none" w:sz="0" w:space="0" w:color="auto"/>
        <w:right w:val="none" w:sz="0" w:space="0" w:color="auto"/>
      </w:divBdr>
    </w:div>
    <w:div w:id="1490485824">
      <w:bodyDiv w:val="1"/>
      <w:marLeft w:val="0"/>
      <w:marRight w:val="0"/>
      <w:marTop w:val="0"/>
      <w:marBottom w:val="0"/>
      <w:divBdr>
        <w:top w:val="none" w:sz="0" w:space="0" w:color="auto"/>
        <w:left w:val="none" w:sz="0" w:space="0" w:color="auto"/>
        <w:bottom w:val="none" w:sz="0" w:space="0" w:color="auto"/>
        <w:right w:val="none" w:sz="0" w:space="0" w:color="auto"/>
      </w:divBdr>
      <w:divsChild>
        <w:div w:id="1162357208">
          <w:marLeft w:val="547"/>
          <w:marRight w:val="0"/>
          <w:marTop w:val="0"/>
          <w:marBottom w:val="0"/>
          <w:divBdr>
            <w:top w:val="none" w:sz="0" w:space="0" w:color="auto"/>
            <w:left w:val="none" w:sz="0" w:space="0" w:color="auto"/>
            <w:bottom w:val="none" w:sz="0" w:space="0" w:color="auto"/>
            <w:right w:val="none" w:sz="0" w:space="0" w:color="auto"/>
          </w:divBdr>
        </w:div>
      </w:divsChild>
    </w:div>
    <w:div w:id="1507600454">
      <w:bodyDiv w:val="1"/>
      <w:marLeft w:val="0"/>
      <w:marRight w:val="0"/>
      <w:marTop w:val="0"/>
      <w:marBottom w:val="0"/>
      <w:divBdr>
        <w:top w:val="none" w:sz="0" w:space="0" w:color="auto"/>
        <w:left w:val="none" w:sz="0" w:space="0" w:color="auto"/>
        <w:bottom w:val="none" w:sz="0" w:space="0" w:color="auto"/>
        <w:right w:val="none" w:sz="0" w:space="0" w:color="auto"/>
      </w:divBdr>
    </w:div>
    <w:div w:id="18797076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2252</Words>
  <Characters>12392</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Romero Diaz</dc:creator>
  <dc:description/>
  <cp:lastModifiedBy>Nayive Carrasco Patiño</cp:lastModifiedBy>
  <cp:revision>3</cp:revision>
  <dcterms:created xsi:type="dcterms:W3CDTF">2023-10-10T22:44:00Z</dcterms:created>
  <dcterms:modified xsi:type="dcterms:W3CDTF">2023-10-10T22:45:00Z</dcterms:modified>
</cp:coreProperties>
</file>